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6E640B7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21858002" w:rsidR="00EA5DCA" w:rsidRDefault="00D10394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Doppelbindungen, Heteroatome, Ladungen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1399CF70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Sohrab; Hoffmann</w:t>
            </w:r>
            <w:r w:rsidR="00975CF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Aaron</w:t>
            </w:r>
            <w:r w:rsidR="00975CF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; Mertineit, Ann-Kathrin; Schaper, Klaus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493965AB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9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23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780C6446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Doppelbindungen, Heteroatome und Ladungen einzufügen</w:t>
            </w:r>
            <w:r w:rsidR="0075278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79FB2221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</w:t>
            </w:r>
            <w:r w:rsidR="00D10394">
              <w:t>D</w:t>
            </w:r>
            <w:r w:rsidR="002E46F5">
              <w:t xml:space="preserve">u </w:t>
            </w:r>
            <w:r w:rsidR="00D10394">
              <w:t>Doppelbindungen, Heteroatome und Ladungen in ChemDraw einfügst.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BB78DEE" w14:textId="06459628" w:rsidR="00AF349B" w:rsidRDefault="00386E56" w:rsidP="00AF349B">
            <w:pPr>
              <w:spacing w:line="276" w:lineRule="auto"/>
              <w:jc w:val="both"/>
            </w:pPr>
            <w:r w:rsidRPr="00386E56">
              <w:t xml:space="preserve">Zu Beginn zeichnen Wir uns ein Kohlenstoffgerüst. </w:t>
            </w:r>
          </w:p>
          <w:p w14:paraId="5F414E40" w14:textId="64769503" w:rsidR="00DD5DBE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664" w14:anchorId="3351CE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5pt;height:33.75pt;mso-width-percent:0;mso-height-percent:0;mso-width-percent:0;mso-height-percent:0" o:ole="">
                  <v:imagedata r:id="rId8" o:title=""/>
                </v:shape>
                <o:OLEObject Type="Embed" ProgID="ChemDraw.Document.6.0" ShapeID="_x0000_i1025" DrawAspect="Content" ObjectID="_1731130501" r:id="rId9"/>
              </w:object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2DA73C9" w14:textId="56B88B70" w:rsidR="004A2A98" w:rsidRDefault="00AF349B" w:rsidP="005A7548">
            <w:pPr>
              <w:spacing w:line="276" w:lineRule="auto"/>
              <w:jc w:val="both"/>
            </w:pPr>
            <w:r>
              <w:t xml:space="preserve">Um Doppelbindungen einzufügen, </w:t>
            </w:r>
            <w:r w:rsidR="00EC6D21">
              <w:t>musst Du</w:t>
            </w:r>
            <w:r w:rsidR="002B5391">
              <w:t xml:space="preserve"> i</w:t>
            </w:r>
            <w:r w:rsidR="00481F24">
              <w:t>n der General Toolbar</w:t>
            </w:r>
            <w:r w:rsidR="002B5391">
              <w:t xml:space="preserve"> </w:t>
            </w:r>
            <w:r w:rsidR="00EC6D21">
              <w:t>das</w:t>
            </w:r>
            <w:r w:rsidR="002B5391">
              <w:t xml:space="preserve"> ,,solid </w:t>
            </w:r>
            <w:proofErr w:type="spellStart"/>
            <w:r w:rsidR="002B5391">
              <w:t>bond</w:t>
            </w:r>
            <w:proofErr w:type="spellEnd"/>
            <w:r w:rsidR="002B5391">
              <w:t>“</w:t>
            </w:r>
            <w:r w:rsidR="00EC6D21">
              <w:t>-Tool</w:t>
            </w:r>
            <w:r w:rsidR="00386E56">
              <w:t xml:space="preserve"> </w:t>
            </w:r>
            <w:r w:rsidR="00EC6D21">
              <w:t>auswählen.</w:t>
            </w:r>
            <w:r w:rsidR="002B5391">
              <w:t xml:space="preserve"> Danach musst du </w:t>
            </w:r>
            <w:r w:rsidR="009E5B9A">
              <w:t>mit dem Cursor</w:t>
            </w:r>
            <w:r w:rsidR="002B5391">
              <w:t xml:space="preserve"> die Bindung</w:t>
            </w:r>
            <w:r w:rsidR="00DD5DBE">
              <w:t>, die Du ändern möchtest,</w:t>
            </w:r>
            <w:r>
              <w:t xml:space="preserve"> </w:t>
            </w:r>
            <w:r w:rsidR="002B5391">
              <w:t xml:space="preserve">über einen Linksklick </w:t>
            </w:r>
            <w:r>
              <w:t>anklicken.</w:t>
            </w:r>
            <w:r w:rsidR="003B1C02">
              <w:t xml:space="preserve"> </w:t>
            </w:r>
          </w:p>
          <w:bookmarkStart w:id="0" w:name="_GoBack"/>
          <w:bookmarkEnd w:id="0"/>
          <w:p w14:paraId="0EB42DB0" w14:textId="35D2FC72" w:rsidR="00DD5DBE" w:rsidRDefault="0056373A" w:rsidP="005A7548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664" w14:anchorId="299E37E4">
                <v:shape id="_x0000_i1026" type="#_x0000_t75" alt="" style="width:105pt;height:33.75pt;mso-width-percent:0;mso-height-percent:0;mso-width-percent:0;mso-height-percent:0" o:ole="">
                  <v:imagedata r:id="rId10" o:title=""/>
                </v:shape>
                <o:OLEObject Type="Embed" ProgID="ChemDraw.Document.6.0" ShapeID="_x0000_i1026" DrawAspect="Content" ObjectID="_1731130502" r:id="rId11"/>
              </w:object>
            </w:r>
          </w:p>
          <w:p w14:paraId="32C0F947" w14:textId="465FC377" w:rsidR="00DD5DBE" w:rsidRPr="004A2A98" w:rsidRDefault="00DD5DBE" w:rsidP="005A7548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785B319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  <w:r w:rsidR="00AF349B">
              <w:rPr>
                <w:rFonts w:eastAsia="Calibri" w:cs="Calibri"/>
                <w:sz w:val="22"/>
                <w:szCs w:val="22"/>
                <w:lang w:eastAsia="en-US" w:bidi="ar-SA"/>
              </w:rPr>
              <w:t>-Tippfolie</w:t>
            </w:r>
          </w:p>
        </w:tc>
        <w:tc>
          <w:tcPr>
            <w:tcW w:w="9639" w:type="dxa"/>
          </w:tcPr>
          <w:p w14:paraId="315EF19A" w14:textId="77777777" w:rsidR="004A2A98" w:rsidRDefault="00AF349B" w:rsidP="00AF349B">
            <w:pPr>
              <w:spacing w:line="276" w:lineRule="auto"/>
              <w:jc w:val="both"/>
            </w:pPr>
            <w:r w:rsidRPr="00AF349B">
              <w:rPr>
                <w:b/>
                <w:bCs/>
              </w:rPr>
              <w:t>Mein Tipp</w:t>
            </w:r>
            <w:r>
              <w:t>: Durch mehrfaches Anklicken der Doppelbindung kannst Du die Position der zweiten Bindung verändern. Du kannst auf diese Weise die Doppelbindung auch mittig zentrieren.</w:t>
            </w:r>
          </w:p>
          <w:p w14:paraId="5CCBD3C4" w14:textId="1287E703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664" w14:anchorId="194719EF">
                <v:shape id="_x0000_i1027" type="#_x0000_t75" alt="" style="width:105pt;height:33.75pt;mso-width-percent:0;mso-height-percent:0;mso-width-percent:0;mso-height-percent:0" o:ole="">
                  <v:imagedata r:id="rId12" o:title=""/>
                </v:shape>
                <o:OLEObject Type="Embed" ProgID="ChemDraw.Document.6.0" ShapeID="_x0000_i1027" DrawAspect="Content" ObjectID="_1731130503" r:id="rId13"/>
              </w:object>
            </w:r>
          </w:p>
          <w:p w14:paraId="02B62BA5" w14:textId="382E0F0E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708" w14:anchorId="776B2EA6">
                <v:shape id="_x0000_i1028" type="#_x0000_t75" alt="" style="width:105pt;height:36.75pt;mso-width-percent:0;mso-height-percent:0;mso-width-percent:0;mso-height-percent:0" o:ole="">
                  <v:imagedata r:id="rId14" o:title=""/>
                </v:shape>
                <o:OLEObject Type="Embed" ProgID="ChemDraw.Document.6.0" ShapeID="_x0000_i1028" DrawAspect="Content" ObjectID="_1731130504" r:id="rId15"/>
              </w:object>
            </w:r>
          </w:p>
          <w:p w14:paraId="5A045D4F" w14:textId="37018F0C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683" w14:anchorId="554AF0B7">
                <v:shape id="_x0000_i1029" type="#_x0000_t75" alt="" style="width:105pt;height:34.5pt;mso-width-percent:0;mso-height-percent:0;mso-width-percent:0;mso-height-percent:0" o:ole="">
                  <v:imagedata r:id="rId16" o:title=""/>
                </v:shape>
                <o:OLEObject Type="Embed" ProgID="ChemDraw.Document.6.0" ShapeID="_x0000_i1029" DrawAspect="Content" ObjectID="_1731130505" r:id="rId17"/>
              </w:object>
            </w:r>
          </w:p>
          <w:p w14:paraId="2C7205D3" w14:textId="08EBE564" w:rsidR="003B1C02" w:rsidRDefault="003B1C02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2D563004" w14:textId="0B5EDBB0" w:rsidR="00A053FE" w:rsidRDefault="00AF349B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 xml:space="preserve">Mehrfaches Anklicken der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>Doppelbindung verändert die Position dessen.</w:t>
            </w: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4DB68569" w14:textId="00CA3E4E" w:rsidR="003B1C02" w:rsidRDefault="00DB30CA" w:rsidP="00AF349B">
            <w:pPr>
              <w:spacing w:line="276" w:lineRule="auto"/>
              <w:jc w:val="both"/>
            </w:pPr>
            <w:r w:rsidRPr="00DB30CA">
              <w:rPr>
                <w:b/>
                <w:bCs/>
              </w:rPr>
              <w:t>Hinweis:</w:t>
            </w:r>
            <w:r>
              <w:t xml:space="preserve"> Alternativ kann</w:t>
            </w:r>
            <w:r w:rsidR="00FC320E">
              <w:t>st Du</w:t>
            </w:r>
            <w:r>
              <w:t xml:space="preserve"> i</w:t>
            </w:r>
            <w:r w:rsidR="00481F24">
              <w:t>n der General Toolbar</w:t>
            </w:r>
            <w:r>
              <w:t xml:space="preserve"> auf das Doppelbindungsicon </w:t>
            </w:r>
            <w:r w:rsidR="00FC320E">
              <w:t>klicken</w:t>
            </w:r>
            <w:r>
              <w:t xml:space="preserve">, um im Anschluss </w:t>
            </w:r>
            <w:r w:rsidR="00EA0D13">
              <w:t xml:space="preserve">eine </w:t>
            </w:r>
            <w:r>
              <w:t>Doppelbindung einzufügen.</w:t>
            </w:r>
            <w:r w:rsidR="00FC320E">
              <w:t xml:space="preserve"> </w:t>
            </w:r>
          </w:p>
          <w:p w14:paraId="212122E9" w14:textId="77777777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708" w14:anchorId="07F9043B">
                <v:shape id="_x0000_i1030" type="#_x0000_t75" alt="" style="width:105pt;height:36.75pt;mso-width-percent:0;mso-height-percent:0;mso-width-percent:0;mso-height-percent:0" o:ole="">
                  <v:imagedata r:id="rId18" o:title=""/>
                </v:shape>
                <o:OLEObject Type="Embed" ProgID="ChemDraw.Document.6.0" ShapeID="_x0000_i1030" DrawAspect="Content" ObjectID="_1731130506" r:id="rId19"/>
              </w:object>
            </w:r>
            <w:r w:rsidR="003B1C02">
              <w:t xml:space="preserve"> </w:t>
            </w:r>
          </w:p>
          <w:p w14:paraId="67146AB8" w14:textId="5DE2645A" w:rsidR="003B1C02" w:rsidRDefault="003B1C02" w:rsidP="00AF349B">
            <w:pPr>
              <w:spacing w:line="276" w:lineRule="auto"/>
              <w:jc w:val="both"/>
            </w:pPr>
            <w:r>
              <w:t>Mit dem Doppelbindungs-Tool kannst Du auch Bindungen direkt als Doppelbindung zeichnen.</w:t>
            </w:r>
          </w:p>
          <w:p w14:paraId="5130CA01" w14:textId="7CB0CFF0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330" w:dyaOrig="708" w14:anchorId="35544391">
                <v:shape id="_x0000_i1031" type="#_x0000_t75" alt="" style="width:116.25pt;height:36.75pt;mso-width-percent:0;mso-height-percent:0;mso-width-percent:0;mso-height-percent:0" o:ole="">
                  <v:imagedata r:id="rId20" o:title=""/>
                </v:shape>
                <o:OLEObject Type="Embed" ProgID="ChemDraw.Document.6.0" ShapeID="_x0000_i1031" DrawAspect="Content" ObjectID="_1731130507" r:id="rId21"/>
              </w:object>
            </w:r>
          </w:p>
          <w:p w14:paraId="035DED75" w14:textId="17138EE5" w:rsidR="00A053FE" w:rsidRDefault="00FC320E" w:rsidP="00AF349B">
            <w:pPr>
              <w:spacing w:line="276" w:lineRule="auto"/>
              <w:jc w:val="both"/>
            </w:pPr>
            <w:r>
              <w:t xml:space="preserve">Außerdem sind weitere Optionen verfügbar. Es kann beispielweise die gekreuzte Doppelbindung ausgewählt werden, die </w:t>
            </w:r>
            <w:r w:rsidR="003B1C02">
              <w:t>zur Darstellung eines</w:t>
            </w:r>
            <w:r>
              <w:t xml:space="preserve"> </w:t>
            </w:r>
            <w:proofErr w:type="spellStart"/>
            <w:r>
              <w:t>Diastereomerengemisch</w:t>
            </w:r>
            <w:proofErr w:type="spellEnd"/>
            <w:r>
              <w:t xml:space="preserve"> sinnvoll ist.</w:t>
            </w:r>
          </w:p>
          <w:p w14:paraId="4376BE09" w14:textId="6E86C9E5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330" w:dyaOrig="708" w14:anchorId="134C3B2C">
                <v:shape id="_x0000_i1032" type="#_x0000_t75" alt="" style="width:116.25pt;height:36.75pt;mso-width-percent:0;mso-height-percent:0;mso-width-percent:0;mso-height-percent:0" o:ole="">
                  <v:imagedata r:id="rId22" o:title=""/>
                </v:shape>
                <o:OLEObject Type="Embed" ProgID="ChemDraw.Document.6.0" ShapeID="_x0000_i1032" DrawAspect="Content" ObjectID="_1731130508" r:id="rId23"/>
              </w:object>
            </w:r>
          </w:p>
          <w:p w14:paraId="61C15151" w14:textId="0DBF6A4E" w:rsidR="003B1C02" w:rsidRDefault="003B1C02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0CAFDAE" w14:textId="77B29064" w:rsidR="003B1C02" w:rsidRDefault="00C20AC5" w:rsidP="00AF349B">
            <w:pPr>
              <w:spacing w:line="276" w:lineRule="auto"/>
              <w:jc w:val="both"/>
            </w:pPr>
            <w:r>
              <w:t>Für das Einfügen von Heteroatomen brauchst Du mit der Maus über die Position gehen, an der das Heteroatom angefügt werden soll. Anschließend kannst Du mittels Tastatur beispielweise über ,,</w:t>
            </w:r>
            <w:r w:rsidR="003B1C02">
              <w:t>n</w:t>
            </w:r>
            <w:r>
              <w:t xml:space="preserve">“ ein </w:t>
            </w:r>
            <w:r w:rsidR="003B1C02">
              <w:t xml:space="preserve">Stickstoffatom </w:t>
            </w:r>
            <w:r>
              <w:t xml:space="preserve">einfügen. </w:t>
            </w:r>
          </w:p>
          <w:p w14:paraId="1B7CA593" w14:textId="4A4F7980" w:rsidR="003B1C02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330" w:dyaOrig="779" w14:anchorId="261337C6">
                <v:shape id="_x0000_i1033" type="#_x0000_t75" alt="" style="width:116.25pt;height:38.25pt;mso-width-percent:0;mso-height-percent:0;mso-width-percent:0;mso-height-percent:0" o:ole="">
                  <v:imagedata r:id="rId24" o:title=""/>
                </v:shape>
                <o:OLEObject Type="Embed" ProgID="ChemDraw.Document.6.0" ShapeID="_x0000_i1033" DrawAspect="Content" ObjectID="_1731130509" r:id="rId25"/>
              </w:object>
            </w:r>
          </w:p>
          <w:p w14:paraId="67C3C65E" w14:textId="46EDFA51" w:rsidR="004A2A98" w:rsidRDefault="00C20AC5" w:rsidP="00AF349B">
            <w:pPr>
              <w:spacing w:line="276" w:lineRule="auto"/>
              <w:jc w:val="both"/>
            </w:pPr>
            <w:r>
              <w:t>In der Regel stimmt der Anfangsbuchstabe des Heteroatoms mit dem Tastaturkürzel überein</w:t>
            </w:r>
            <w:r w:rsidR="003B1C02">
              <w:t xml:space="preserve">. Es gibt </w:t>
            </w:r>
            <w:r>
              <w:t xml:space="preserve">jedoch Ausnahmen. Ein Chloratom fügst du beispielsweise über ,,l“ ein. </w:t>
            </w:r>
            <w:r w:rsidR="003B1C02">
              <w:t>Das „c“ ist schon für Kohlenstoff belegt.</w:t>
            </w:r>
          </w:p>
          <w:p w14:paraId="61BE5640" w14:textId="25386124" w:rsidR="00A053FE" w:rsidRDefault="00A053FE" w:rsidP="00AF349B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5DFFB827" w14:textId="7D5FA9E7" w:rsidR="00A053FE" w:rsidRDefault="00E47C66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lastRenderedPageBreak/>
              <w:t>Jeweils Tasten einblenden!</w:t>
            </w: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0BC476E5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6FBABC4" w14:textId="5E18D10D" w:rsidR="004A2A98" w:rsidRDefault="00DB30CA" w:rsidP="00AF349B">
            <w:pPr>
              <w:spacing w:line="276" w:lineRule="auto"/>
              <w:jc w:val="both"/>
            </w:pPr>
            <w:r w:rsidRPr="00FC320E">
              <w:rPr>
                <w:b/>
                <w:bCs/>
              </w:rPr>
              <w:t>Hinweis:</w:t>
            </w:r>
            <w:r>
              <w:t xml:space="preserve"> Um weniger häufig genutzte Heteroatome einzufügen, </w:t>
            </w:r>
            <w:r w:rsidR="009E5B9A">
              <w:t>musst</w:t>
            </w:r>
            <w:r>
              <w:t xml:space="preserve"> Du über den Reiter </w:t>
            </w:r>
            <w:r w:rsidR="0063041A">
              <w:t>,,</w:t>
            </w:r>
            <w:proofErr w:type="spellStart"/>
            <w:r w:rsidRPr="0063041A">
              <w:t>view</w:t>
            </w:r>
            <w:proofErr w:type="spellEnd"/>
            <w:r w:rsidR="0063041A">
              <w:t>“</w:t>
            </w:r>
            <w:r>
              <w:t xml:space="preserve"> das Periodensystem anzeigen. Anschließend kannst </w:t>
            </w:r>
            <w:r w:rsidR="0063041A">
              <w:t>D</w:t>
            </w:r>
            <w:r>
              <w:t xml:space="preserve">u auf das Atom im Periodensystem klicken. </w:t>
            </w:r>
            <w:r w:rsidR="0063041A">
              <w:t>I</w:t>
            </w:r>
            <w:r>
              <w:t>m Cursor</w:t>
            </w:r>
            <w:r w:rsidR="0063041A">
              <w:t xml:space="preserve"> wird das ausgewählte Atom</w:t>
            </w:r>
            <w:r>
              <w:t xml:space="preserve"> angezeigt. Durch </w:t>
            </w:r>
            <w:r w:rsidR="00FC320E">
              <w:t xml:space="preserve">Anklicken der </w:t>
            </w:r>
            <w:r w:rsidR="0063041A">
              <w:t>gewünschten Position</w:t>
            </w:r>
            <w:r w:rsidR="00FC320E">
              <w:t xml:space="preserve"> kann das Atom eingefügt werden.</w:t>
            </w:r>
          </w:p>
        </w:tc>
        <w:tc>
          <w:tcPr>
            <w:tcW w:w="1701" w:type="dxa"/>
          </w:tcPr>
          <w:p w14:paraId="6FF95125" w14:textId="267B4B49" w:rsidR="00A053FE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PSE verwenden für weitere Heteroatome.</w:t>
            </w: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C94E9" w14:textId="5E9950C2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</w:tc>
        <w:tc>
          <w:tcPr>
            <w:tcW w:w="9639" w:type="dxa"/>
          </w:tcPr>
          <w:p w14:paraId="741D49B3" w14:textId="0A2FF5DE" w:rsidR="00A01D6D" w:rsidRDefault="00A01D6D" w:rsidP="00AF349B">
            <w:pPr>
              <w:spacing w:line="276" w:lineRule="auto"/>
              <w:jc w:val="both"/>
            </w:pPr>
            <w:r>
              <w:t>Fügst Du in einem Benzolring ein Sauerstoffatom ein, fehlt der Struktur eine positive Ladung</w:t>
            </w:r>
            <w:r w:rsidR="00386E56">
              <w:t>.</w:t>
            </w:r>
            <w:r>
              <w:t xml:space="preserve"> </w:t>
            </w:r>
          </w:p>
          <w:p w14:paraId="7C82F695" w14:textId="62F52056" w:rsidR="00E47C66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330" w:dyaOrig="782" w14:anchorId="07C6714C">
                <v:shape id="_x0000_i1034" type="#_x0000_t75" alt="" style="width:116.25pt;height:38.25pt;mso-width-percent:0;mso-height-percent:0;mso-width-percent:0;mso-height-percent:0" o:ole="">
                  <v:imagedata r:id="rId26" o:title=""/>
                </v:shape>
                <o:OLEObject Type="Embed" ProgID="ChemDraw.Document.6.0" ShapeID="_x0000_i1034" DrawAspect="Content" ObjectID="_1731130510" r:id="rId27"/>
              </w:object>
            </w:r>
          </w:p>
          <w:p w14:paraId="1126FE96" w14:textId="3FA160E3" w:rsidR="00E47C66" w:rsidRDefault="00E47C66" w:rsidP="00AF349B">
            <w:pPr>
              <w:spacing w:line="276" w:lineRule="auto"/>
              <w:jc w:val="both"/>
            </w:pPr>
            <w:r>
              <w:t>I</w:t>
            </w:r>
            <w:r w:rsidR="00481F24">
              <w:t>n der General Toolbar</w:t>
            </w:r>
            <w:r>
              <w:t xml:space="preserve"> kann auf das Icon der positiven Ladung geklickt werden. Danach musst Du in der Struktur </w:t>
            </w:r>
            <w:r w:rsidR="00EE1D4E">
              <w:t>auf das Atom</w:t>
            </w:r>
            <w:r>
              <w:t xml:space="preserve"> klicken</w:t>
            </w:r>
            <w:r w:rsidR="00EE1D4E">
              <w:t>, welches die Ladung tragen soll.</w:t>
            </w:r>
          </w:p>
          <w:p w14:paraId="258CBA0A" w14:textId="15076F39" w:rsidR="00E47C66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330" w:dyaOrig="782" w14:anchorId="4880ECC0">
                <v:shape id="_x0000_i1035" type="#_x0000_t75" alt="" style="width:116.25pt;height:38.25pt;mso-width-percent:0;mso-height-percent:0;mso-width-percent:0;mso-height-percent:0" o:ole="">
                  <v:imagedata r:id="rId28" o:title=""/>
                </v:shape>
                <o:OLEObject Type="Embed" ProgID="ChemDraw.Document.6.0" ShapeID="_x0000_i1035" DrawAspect="Content" ObjectID="_1731130511" r:id="rId29"/>
              </w:object>
            </w:r>
          </w:p>
          <w:p w14:paraId="66836A80" w14:textId="7EF7DF7C" w:rsidR="004E68B4" w:rsidRDefault="004E68B4" w:rsidP="00AF349B">
            <w:pPr>
              <w:spacing w:line="276" w:lineRule="auto"/>
              <w:jc w:val="both"/>
            </w:pPr>
            <w:r>
              <w:t>Ich lösche die positive Ladung noch einmal. Dazu nutze ich den Radierer. Nun füge ich die Ladun</w:t>
            </w:r>
            <w:r w:rsidR="00386E56">
              <w:t>g</w:t>
            </w:r>
            <w:r>
              <w:t xml:space="preserve"> wieder ein. Sie kann bei gedrückter linker Maustaste frei positioniert werden.</w:t>
            </w:r>
          </w:p>
          <w:p w14:paraId="106988A4" w14:textId="46A178C4" w:rsidR="00E47C66" w:rsidRPr="00A01D6D" w:rsidRDefault="0056373A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330" w:dyaOrig="883" w14:anchorId="661B7697">
                <v:shape id="_x0000_i1036" type="#_x0000_t75" alt="" style="width:116.25pt;height:44.25pt;mso-width-percent:0;mso-height-percent:0;mso-width-percent:0;mso-height-percent:0" o:ole="">
                  <v:imagedata r:id="rId30" o:title=""/>
                </v:shape>
                <o:OLEObject Type="Embed" ProgID="ChemDraw.Document.6.0" ShapeID="_x0000_i1036" DrawAspect="Content" ObjectID="_1731130512" r:id="rId31"/>
              </w:object>
            </w:r>
          </w:p>
        </w:tc>
        <w:tc>
          <w:tcPr>
            <w:tcW w:w="1701" w:type="dxa"/>
          </w:tcPr>
          <w:p w14:paraId="3BABA577" w14:textId="77777777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079C451F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Screencast-Tippfolie</w:t>
            </w:r>
          </w:p>
        </w:tc>
        <w:tc>
          <w:tcPr>
            <w:tcW w:w="9639" w:type="dxa"/>
          </w:tcPr>
          <w:p w14:paraId="1FCFF961" w14:textId="2831D8D2" w:rsidR="00A01D6D" w:rsidRPr="00A01D6D" w:rsidRDefault="00A01D6D" w:rsidP="00AF349B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Mein Tipp: </w:t>
            </w:r>
            <w:r>
              <w:t>Neben der positiven Ladung können auch negative Ladungen und ungepaarte Elektronen</w:t>
            </w:r>
            <w:r w:rsidR="00235E3C">
              <w:t xml:space="preserve"> eingefügt werden. Hierzu muss i</w:t>
            </w:r>
            <w:r w:rsidR="00481F24">
              <w:t xml:space="preserve">n der General Toolbar </w:t>
            </w:r>
            <w:r w:rsidR="00235E3C">
              <w:t xml:space="preserve">ein weiteres Mal auf das Icon der positiven Ladung geklickt werden. </w:t>
            </w:r>
          </w:p>
        </w:tc>
        <w:tc>
          <w:tcPr>
            <w:tcW w:w="1701" w:type="dxa"/>
          </w:tcPr>
          <w:p w14:paraId="089EB670" w14:textId="4CEC8E94" w:rsidR="00A01D6D" w:rsidRDefault="00235E3C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Weitere Optionen durch erneutes Klicken auf das Icon der positiven Ladung, z.B. ungepaarte Elektronen.</w:t>
            </w: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3D34CC89" w:rsidR="00A053FE" w:rsidRDefault="004A2A98" w:rsidP="00AF349B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In diesem DigiChem-Video hast Du gelernt, wie Du </w:t>
            </w:r>
            <w:r w:rsidR="00235E3C">
              <w:t>Doppelbindungen</w:t>
            </w:r>
            <w:r w:rsidR="004E68B4">
              <w:t>, Heteroatome</w:t>
            </w:r>
            <w:r w:rsidR="00235E3C">
              <w:t xml:space="preserve"> und Ladungen hinzufügst. Wende Dein neu gewonnenes Wissen direkt beim Zeichnen Deiner nächsten Strukturformel an.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975CF0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A3A5" w14:textId="77777777" w:rsidR="00417A19" w:rsidRDefault="00417A19">
      <w:r>
        <w:separator/>
      </w:r>
    </w:p>
  </w:endnote>
  <w:endnote w:type="continuationSeparator" w:id="0">
    <w:p w14:paraId="782C605B" w14:textId="77777777" w:rsidR="00417A19" w:rsidRDefault="0041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9CABD" w14:textId="77777777" w:rsidR="00975CF0" w:rsidRDefault="00975C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05C1" w14:textId="77777777" w:rsidR="00975CF0" w:rsidRPr="00546F86" w:rsidRDefault="00975CF0" w:rsidP="00975CF0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1312" behindDoc="1" locked="0" layoutInCell="1" allowOverlap="1" wp14:anchorId="4F8D22B6" wp14:editId="74797CA7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3AFF904" wp14:editId="40F11373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459B8A70" w14:textId="77777777" w:rsidR="00975CF0" w:rsidRDefault="00975CF0" w:rsidP="00975CF0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840C7F" wp14:editId="13E06FA8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D5E8" w14:textId="77777777" w:rsidR="00975CF0" w:rsidRPr="00546F86" w:rsidRDefault="00975CF0" w:rsidP="00975CF0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0E8C" w14:textId="77777777" w:rsidR="00975CF0" w:rsidRDefault="00975C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5666" w14:textId="77777777" w:rsidR="00417A19" w:rsidRDefault="00417A19">
      <w:r>
        <w:separator/>
      </w:r>
    </w:p>
  </w:footnote>
  <w:footnote w:type="continuationSeparator" w:id="0">
    <w:p w14:paraId="3C5DF147" w14:textId="77777777" w:rsidR="00417A19" w:rsidRDefault="0041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BEF55" w14:textId="77777777" w:rsidR="00975CF0" w:rsidRDefault="00975C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FC8F" w14:textId="77777777" w:rsidR="00975CF0" w:rsidRDefault="00975CF0" w:rsidP="00975CF0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E315787" wp14:editId="45F7C8E8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1ACCF3C9" w14:textId="46319B6C" w:rsidR="00975CF0" w:rsidRPr="00631D01" w:rsidRDefault="00975CF0" w:rsidP="00975CF0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DE357A7" wp14:editId="25A686AC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43B126FC" w14:textId="77777777" w:rsidR="00975CF0" w:rsidRDefault="00975CF0" w:rsidP="00975CF0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0441" w14:textId="77777777" w:rsidR="00975CF0" w:rsidRDefault="00975C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24880"/>
    <w:rsid w:val="00052B18"/>
    <w:rsid w:val="00071E29"/>
    <w:rsid w:val="00091125"/>
    <w:rsid w:val="000D0622"/>
    <w:rsid w:val="00127130"/>
    <w:rsid w:val="0016394A"/>
    <w:rsid w:val="00194570"/>
    <w:rsid w:val="001A1F60"/>
    <w:rsid w:val="001B123C"/>
    <w:rsid w:val="0021254A"/>
    <w:rsid w:val="00235E3C"/>
    <w:rsid w:val="00265ED2"/>
    <w:rsid w:val="00270608"/>
    <w:rsid w:val="002867E4"/>
    <w:rsid w:val="002B5391"/>
    <w:rsid w:val="002E46F5"/>
    <w:rsid w:val="00386E56"/>
    <w:rsid w:val="00387BEA"/>
    <w:rsid w:val="003941A3"/>
    <w:rsid w:val="003B1C02"/>
    <w:rsid w:val="003E221E"/>
    <w:rsid w:val="003E2725"/>
    <w:rsid w:val="003E3775"/>
    <w:rsid w:val="003E50A2"/>
    <w:rsid w:val="003F7079"/>
    <w:rsid w:val="004104D8"/>
    <w:rsid w:val="00417A19"/>
    <w:rsid w:val="00445160"/>
    <w:rsid w:val="00460569"/>
    <w:rsid w:val="0046348F"/>
    <w:rsid w:val="00481F24"/>
    <w:rsid w:val="004A2A98"/>
    <w:rsid w:val="004C169C"/>
    <w:rsid w:val="004E68B4"/>
    <w:rsid w:val="00513DCD"/>
    <w:rsid w:val="0056373A"/>
    <w:rsid w:val="00583FF7"/>
    <w:rsid w:val="005A7548"/>
    <w:rsid w:val="0063041A"/>
    <w:rsid w:val="00637DA4"/>
    <w:rsid w:val="006E2522"/>
    <w:rsid w:val="0071116E"/>
    <w:rsid w:val="0073372F"/>
    <w:rsid w:val="0074237E"/>
    <w:rsid w:val="00746CF7"/>
    <w:rsid w:val="00752785"/>
    <w:rsid w:val="007975CA"/>
    <w:rsid w:val="007A4B36"/>
    <w:rsid w:val="007C3BA1"/>
    <w:rsid w:val="007D4230"/>
    <w:rsid w:val="00822DC8"/>
    <w:rsid w:val="0084376C"/>
    <w:rsid w:val="008668E3"/>
    <w:rsid w:val="00876265"/>
    <w:rsid w:val="008A1645"/>
    <w:rsid w:val="008D4733"/>
    <w:rsid w:val="008E1495"/>
    <w:rsid w:val="00907AC3"/>
    <w:rsid w:val="00920E19"/>
    <w:rsid w:val="00927B83"/>
    <w:rsid w:val="009301F0"/>
    <w:rsid w:val="00961F1C"/>
    <w:rsid w:val="00975CF0"/>
    <w:rsid w:val="0097699A"/>
    <w:rsid w:val="00986ACB"/>
    <w:rsid w:val="009879E4"/>
    <w:rsid w:val="009A0DCE"/>
    <w:rsid w:val="009E5B9A"/>
    <w:rsid w:val="00A01D6D"/>
    <w:rsid w:val="00A053FE"/>
    <w:rsid w:val="00A112F9"/>
    <w:rsid w:val="00A173AC"/>
    <w:rsid w:val="00A328A1"/>
    <w:rsid w:val="00AE2529"/>
    <w:rsid w:val="00AF349B"/>
    <w:rsid w:val="00B37FCF"/>
    <w:rsid w:val="00B9777D"/>
    <w:rsid w:val="00BA5AF6"/>
    <w:rsid w:val="00BF1B8B"/>
    <w:rsid w:val="00C20AC5"/>
    <w:rsid w:val="00C512ED"/>
    <w:rsid w:val="00C70F0A"/>
    <w:rsid w:val="00C83334"/>
    <w:rsid w:val="00CB33AD"/>
    <w:rsid w:val="00D055DC"/>
    <w:rsid w:val="00D10394"/>
    <w:rsid w:val="00D34ED5"/>
    <w:rsid w:val="00D75A12"/>
    <w:rsid w:val="00DA17AF"/>
    <w:rsid w:val="00DB30CA"/>
    <w:rsid w:val="00DD19D6"/>
    <w:rsid w:val="00DD5DBE"/>
    <w:rsid w:val="00DE2C21"/>
    <w:rsid w:val="00DE58E3"/>
    <w:rsid w:val="00DF59D1"/>
    <w:rsid w:val="00E25CCB"/>
    <w:rsid w:val="00E47C66"/>
    <w:rsid w:val="00E53EA5"/>
    <w:rsid w:val="00E8718C"/>
    <w:rsid w:val="00EA0D13"/>
    <w:rsid w:val="00EA5DCA"/>
    <w:rsid w:val="00EC4394"/>
    <w:rsid w:val="00EC6D21"/>
    <w:rsid w:val="00EE1D4E"/>
    <w:rsid w:val="00F254C5"/>
    <w:rsid w:val="00F82275"/>
    <w:rsid w:val="00F9181F"/>
    <w:rsid w:val="00FB6E7B"/>
    <w:rsid w:val="00FC320E"/>
    <w:rsid w:val="00FC4C78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975CF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footer" Target="footer2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F5832-3EA3-43FD-8A37-636BF6ED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Ann-Kathrin Mertineit</cp:lastModifiedBy>
  <cp:revision>21</cp:revision>
  <dcterms:created xsi:type="dcterms:W3CDTF">2021-09-23T11:03:00Z</dcterms:created>
  <dcterms:modified xsi:type="dcterms:W3CDTF">2022-11-28T07:48:00Z</dcterms:modified>
  <dc:language>de-DE</dc:language>
</cp:coreProperties>
</file>