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19E47CA0" w:rsidR="00EA5DCA" w:rsidRDefault="0032607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  <w:proofErr w:type="spellEnd"/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5B140CB9" w:rsidR="00EA5DCA" w:rsidRDefault="00326071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Umlagerungen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7C67ABCA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Sohrab; 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106B2865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D231E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6507A123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26071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(vordefinierte) Reaktions- und Gleichgewichtspfeile über die Toolbar einzufügen.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5A07C2DB" w14:textId="7C8B0543" w:rsidR="00EA5DCA" w:rsidRDefault="00EA5DCA"/>
    <w:p w14:paraId="7C55D71E" w14:textId="353B593C" w:rsidR="002F48A8" w:rsidRDefault="002F48A8">
      <w:r>
        <w:t>Sprechzeit: 2.20 min</w:t>
      </w:r>
    </w:p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7605AC2C" w:rsidR="00EA5DCA" w:rsidRPr="004A2A98" w:rsidRDefault="004310AF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310AF">
              <w:rPr>
                <w:rFonts w:eastAsia="Calibri" w:cs="Calibri"/>
                <w:lang w:eastAsia="en-US" w:bidi="ar-SA"/>
              </w:rPr>
              <w:t xml:space="preserve">Hallo, in diesem </w:t>
            </w:r>
            <w:proofErr w:type="spellStart"/>
            <w:r w:rsidRPr="004310AF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4310AF">
              <w:rPr>
                <w:rFonts w:eastAsia="Calibri" w:cs="Calibri"/>
                <w:lang w:eastAsia="en-US" w:bidi="ar-SA"/>
              </w:rPr>
              <w:t xml:space="preserve">-Video wird Dir der Lösungsweg zur </w:t>
            </w:r>
            <w:proofErr w:type="spellStart"/>
            <w:r w:rsidRPr="004310AF">
              <w:rPr>
                <w:rFonts w:eastAsia="Calibri" w:cs="Calibri"/>
                <w:lang w:eastAsia="en-US" w:bidi="ar-SA"/>
              </w:rPr>
              <w:t>ChemDraw</w:t>
            </w:r>
            <w:proofErr w:type="spellEnd"/>
            <w:r w:rsidRPr="004310AF">
              <w:rPr>
                <w:rFonts w:eastAsia="Calibri" w:cs="Calibri"/>
                <w:lang w:eastAsia="en-US" w:bidi="ar-SA"/>
              </w:rPr>
              <w:t xml:space="preserve">-Übung ,,Umlagerungen“ gezeigt. 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2ACCA828" w:rsidR="00E135D1" w:rsidRDefault="004310AF" w:rsidP="00E135D1">
            <w:pPr>
              <w:spacing w:line="276" w:lineRule="auto"/>
              <w:jc w:val="both"/>
            </w:pPr>
            <w:r>
              <w:t>In der ersten Aufgabe sollst Du die Pfeile in der Cope-Umlagerung ergänzen.</w:t>
            </w:r>
            <w:r w:rsidR="00811413">
              <w:t xml:space="preserve"> </w:t>
            </w:r>
            <w:r w:rsidR="00B978F5" w:rsidRPr="004310AF">
              <w:rPr>
                <w:rFonts w:eastAsia="Calibri" w:cs="Calibri"/>
                <w:lang w:eastAsia="en-US" w:bidi="ar-SA"/>
              </w:rPr>
              <w:t xml:space="preserve">Du kannst die Reaktionen entweder neu zeichnen, um den Umgang mit </w:t>
            </w:r>
            <w:proofErr w:type="spellStart"/>
            <w:r w:rsidR="00B978F5" w:rsidRPr="004310AF">
              <w:rPr>
                <w:rFonts w:eastAsia="Calibri" w:cs="Calibri"/>
                <w:lang w:eastAsia="en-US" w:bidi="ar-SA"/>
              </w:rPr>
              <w:t>ChemDraw</w:t>
            </w:r>
            <w:proofErr w:type="spellEnd"/>
            <w:r w:rsidR="00B978F5" w:rsidRPr="004310AF">
              <w:rPr>
                <w:rFonts w:eastAsia="Calibri" w:cs="Calibri"/>
                <w:lang w:eastAsia="en-US" w:bidi="ar-SA"/>
              </w:rPr>
              <w:t xml:space="preserve"> zu üben, oder die entsprechende Datei mit den Reaktionen, aber ohne die roten Pfeile, </w:t>
            </w:r>
            <w:r w:rsidR="00B978F5">
              <w:rPr>
                <w:rFonts w:eastAsia="Calibri" w:cs="Calibri"/>
                <w:lang w:eastAsia="en-US" w:bidi="ar-SA"/>
              </w:rPr>
              <w:t>nutzen</w:t>
            </w:r>
            <w:r w:rsidR="00B978F5" w:rsidRPr="004310AF">
              <w:rPr>
                <w:rFonts w:eastAsia="Calibri" w:cs="Calibri"/>
                <w:lang w:eastAsia="en-US" w:bidi="ar-SA"/>
              </w:rPr>
              <w:t xml:space="preserve">. </w:t>
            </w:r>
            <w:r w:rsidR="00B978F5">
              <w:rPr>
                <w:rFonts w:eastAsia="Calibri" w:cs="Calibri"/>
                <w:lang w:eastAsia="en-US" w:bidi="ar-SA"/>
              </w:rPr>
              <w:t>Diese kannst Du Dir im Kurs herunterladen</w:t>
            </w:r>
            <w:r w:rsidR="00B978F5" w:rsidRPr="004310AF">
              <w:rPr>
                <w:rFonts w:eastAsia="Calibri" w:cs="Calibri"/>
                <w:lang w:eastAsia="en-US" w:bidi="ar-SA"/>
              </w:rPr>
              <w:t>.</w:t>
            </w:r>
            <w:r w:rsidR="00B978F5">
              <w:rPr>
                <w:rFonts w:eastAsia="Calibri" w:cs="Calibri"/>
                <w:lang w:eastAsia="en-US" w:bidi="ar-SA"/>
              </w:rPr>
              <w:t xml:space="preserve"> Um die Umlagerungspfeile </w:t>
            </w:r>
            <w:r w:rsidR="00CC206B">
              <w:rPr>
                <w:rFonts w:eastAsia="Calibri" w:cs="Calibri"/>
                <w:lang w:eastAsia="en-US" w:bidi="ar-SA"/>
              </w:rPr>
              <w:t>einzufügen</w:t>
            </w:r>
            <w:r w:rsidR="00B978F5">
              <w:rPr>
                <w:rFonts w:eastAsia="Calibri" w:cs="Calibri"/>
                <w:lang w:eastAsia="en-US" w:bidi="ar-SA"/>
              </w:rPr>
              <w:t>, k</w:t>
            </w:r>
            <w:r w:rsidR="00811413">
              <w:t>licke</w:t>
            </w:r>
            <w:r w:rsidR="00CC206B">
              <w:t xml:space="preserve"> zunächst</w:t>
            </w:r>
            <w:r w:rsidR="00811413">
              <w:t xml:space="preserve"> mit der linken Maustaste in der General Toolbar auf das Pfeilsymbol und halte diese gedrückt. Wähle den linksgekrümmten Pfeil mit 120° aus. </w:t>
            </w:r>
          </w:p>
          <w:p w14:paraId="5F414E40" w14:textId="551C7D02" w:rsidR="00AF349B" w:rsidRDefault="00AF349B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7FD309A6" w:rsidR="00EA5DCA" w:rsidRDefault="009B51B3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Kap1</w:t>
            </w: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2C0F947" w14:textId="40DB2C09" w:rsidR="004A2A98" w:rsidRPr="004A2A98" w:rsidRDefault="00811413" w:rsidP="002F48A8">
            <w:pPr>
              <w:spacing w:line="276" w:lineRule="auto"/>
              <w:jc w:val="both"/>
            </w:pPr>
            <w:r>
              <w:t>Um die Pfeile anschließend einfacher einzufügen, kannst Du in die Abbildung hineinzoomen.</w:t>
            </w:r>
            <w:r w:rsidR="009B51B3">
              <w:t xml:space="preserve"> </w:t>
            </w: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2A6E238" w14:textId="294AF12A" w:rsidR="004A2A98" w:rsidRDefault="009B51B3" w:rsidP="009B51B3">
            <w:pPr>
              <w:tabs>
                <w:tab w:val="left" w:pos="3855"/>
              </w:tabs>
              <w:spacing w:line="276" w:lineRule="auto"/>
              <w:jc w:val="both"/>
            </w:pPr>
            <w:r>
              <w:t xml:space="preserve">Drücke die linke </w:t>
            </w:r>
            <w:r w:rsidR="00E92A15">
              <w:t>Maustaste,</w:t>
            </w:r>
            <w:r>
              <w:t xml:space="preserve"> um den Startpunkt des Pfeils festzulegen und ziehe mit gedrückter </w:t>
            </w:r>
            <w:r w:rsidR="002F48A8">
              <w:t>Maustaste,</w:t>
            </w:r>
            <w:r>
              <w:t xml:space="preserve"> um den Endpunkt zu definieren. Wenn Du den gewünschten Endpunkt erreicht hast, lasse die Maustaste los.</w:t>
            </w:r>
          </w:p>
          <w:p w14:paraId="2C7205D3" w14:textId="49ED33C8" w:rsidR="00E92A15" w:rsidRDefault="00E92A15" w:rsidP="009B51B3">
            <w:pPr>
              <w:tabs>
                <w:tab w:val="left" w:pos="3855"/>
              </w:tabs>
              <w:spacing w:line="276" w:lineRule="auto"/>
              <w:jc w:val="both"/>
            </w:pPr>
            <w:r w:rsidRPr="00E92A15">
              <w:rPr>
                <w:noProof/>
              </w:rPr>
              <w:drawing>
                <wp:inline distT="0" distB="0" distL="0" distR="0" wp14:anchorId="2BE85CB8" wp14:editId="0C39C940">
                  <wp:extent cx="1435100" cy="4318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44AE58B7" w14:textId="63A4CF55" w:rsidR="00326071" w:rsidRDefault="00E7667C" w:rsidP="00AF349B">
            <w:pPr>
              <w:spacing w:line="276" w:lineRule="auto"/>
              <w:jc w:val="both"/>
            </w:pPr>
            <w:r>
              <w:t>Das Gleichgewicht der Umlagerungsreaktion ist ausgeglichen</w:t>
            </w:r>
            <w:r w:rsidR="00E92A15">
              <w:t>. Füge über die General Toolbar einen Gleichgewichtspfeil ein. Halte dafür das Pfeilsymbol gedrückt und wähle in dem sich öffnenden Fenster den Doppelpfeil aus.</w:t>
            </w:r>
            <w:r w:rsidR="00326071">
              <w:t xml:space="preserve"> Das Positionieren und die Länge des Pfeils kannst Du analog zum 120° Pfeil anpassen.</w:t>
            </w:r>
          </w:p>
          <w:p w14:paraId="61C15151" w14:textId="5EA0F9EB" w:rsidR="00A053FE" w:rsidRDefault="00326071" w:rsidP="00AF349B">
            <w:pPr>
              <w:spacing w:line="276" w:lineRule="auto"/>
              <w:jc w:val="both"/>
            </w:pPr>
            <w:r w:rsidRPr="00326071">
              <w:rPr>
                <w:noProof/>
              </w:rPr>
              <w:drawing>
                <wp:inline distT="0" distB="0" distL="0" distR="0" wp14:anchorId="60A097F7" wp14:editId="0BF2D8A4">
                  <wp:extent cx="1435100" cy="431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2A15">
              <w:t xml:space="preserve"> </w:t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BE5640" w14:textId="4FB27048" w:rsidR="00A053FE" w:rsidRDefault="00326071" w:rsidP="00E135D1">
            <w:pPr>
              <w:spacing w:line="276" w:lineRule="auto"/>
              <w:jc w:val="both"/>
            </w:pPr>
            <w:r>
              <w:t>Die zweite Aufgabe stellt ein Beispiel für eine Pinakol-Umlagerung da.</w:t>
            </w:r>
          </w:p>
        </w:tc>
        <w:tc>
          <w:tcPr>
            <w:tcW w:w="1701" w:type="dxa"/>
          </w:tcPr>
          <w:p w14:paraId="5DFFB827" w14:textId="512216D3" w:rsidR="00A053FE" w:rsidRDefault="00326071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Kap2</w:t>
            </w: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6FBABC4" w14:textId="7A16F36F" w:rsidR="004A2A98" w:rsidRDefault="00326071" w:rsidP="00AF349B">
            <w:pPr>
              <w:spacing w:line="276" w:lineRule="auto"/>
              <w:jc w:val="both"/>
            </w:pPr>
            <w:r>
              <w:t xml:space="preserve">Nach der Protonierung im ersten Schritt wird ein Wassermolekül abgespalten. Ein </w:t>
            </w:r>
            <w:proofErr w:type="spellStart"/>
            <w:r>
              <w:t>Carbeniumion</w:t>
            </w:r>
            <w:proofErr w:type="spellEnd"/>
            <w:r>
              <w:t xml:space="preserve"> bleibt zurück. Um diese</w:t>
            </w:r>
            <w:r w:rsidR="00E7667C">
              <w:t>n</w:t>
            </w:r>
            <w:r>
              <w:t xml:space="preserve"> Schritt besser kenntlich zu machen, füge</w:t>
            </w:r>
            <w:r w:rsidR="00EE3CE0">
              <w:t xml:space="preserve"> einen Pfeil ausgehen</w:t>
            </w:r>
            <w:r w:rsidR="00B63164">
              <w:t>d</w:t>
            </w:r>
            <w:r w:rsidR="00EE3CE0">
              <w:t xml:space="preserve"> von der C</w:t>
            </w:r>
            <w:r w:rsidR="00E7667C">
              <w:noBreakHyphen/>
            </w:r>
            <w:r w:rsidR="00EE3CE0">
              <w:t>O</w:t>
            </w:r>
            <w:r w:rsidR="00E7667C">
              <w:noBreakHyphen/>
            </w:r>
            <w:r w:rsidR="00EE3CE0">
              <w:t>Bindung in Richtung Sauerstoff ein. Das Einfügen des Pfeils erfolgt analog zur Cope</w:t>
            </w:r>
            <w:r w:rsidR="00E7667C">
              <w:noBreakHyphen/>
            </w:r>
            <w:r w:rsidR="00EE3CE0">
              <w:t>Umlagerung, wähle jedoch den 180° Pfeil au</w:t>
            </w:r>
            <w:r w:rsidR="002F48A8">
              <w:t>s</w:t>
            </w:r>
            <w:r w:rsidR="00EE3CE0">
              <w:t>.</w:t>
            </w: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5E9950C2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</w:tc>
        <w:tc>
          <w:tcPr>
            <w:tcW w:w="9639" w:type="dxa"/>
          </w:tcPr>
          <w:p w14:paraId="4259CDA5" w14:textId="256969C2" w:rsidR="00EE3CE0" w:rsidRDefault="00EE3CE0" w:rsidP="00AF349B">
            <w:pPr>
              <w:spacing w:line="276" w:lineRule="auto"/>
              <w:jc w:val="both"/>
            </w:pPr>
            <w:r>
              <w:t>Beachte ebenfalls die Krümmung. Wähle einen rechtsgekrümmten Pfeil aus</w:t>
            </w:r>
            <w:r w:rsidR="00B978F5">
              <w:t>, da ein linksgekrümmter Pfeil die positive Ladung überdecken würde</w:t>
            </w:r>
            <w:r>
              <w:t>.</w:t>
            </w:r>
          </w:p>
          <w:p w14:paraId="106988A4" w14:textId="37DB8750" w:rsidR="00A01D6D" w:rsidRPr="00A01D6D" w:rsidRDefault="00EE3CE0" w:rsidP="00AF349B">
            <w:pPr>
              <w:spacing w:line="276" w:lineRule="auto"/>
              <w:jc w:val="both"/>
            </w:pPr>
            <w:r w:rsidRPr="00EE3CE0">
              <w:rPr>
                <w:noProof/>
              </w:rPr>
              <w:drawing>
                <wp:inline distT="0" distB="0" distL="0" distR="0" wp14:anchorId="7BE2EB0A" wp14:editId="4B5FDCD0">
                  <wp:extent cx="2590800" cy="635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701" w:type="dxa"/>
          </w:tcPr>
          <w:p w14:paraId="3BABA577" w14:textId="77777777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48AA9813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7E605AE" w14:textId="0DBF8BB7" w:rsidR="00A01D6D" w:rsidRDefault="00EE3CE0" w:rsidP="00AF349B">
            <w:pPr>
              <w:spacing w:line="276" w:lineRule="auto"/>
              <w:jc w:val="both"/>
            </w:pPr>
            <w:r>
              <w:t xml:space="preserve">Nach der Wasserabspaltung findet die Umlagerung statt. </w:t>
            </w:r>
            <w:r w:rsidR="00291C40">
              <w:t xml:space="preserve">Dabei wird ein Proton abgespalten. </w:t>
            </w:r>
            <w:r>
              <w:t xml:space="preserve">Füge als erstes einen Pfeil ausgehend von der </w:t>
            </w:r>
            <w:r w:rsidR="00291C40">
              <w:t>O</w:t>
            </w:r>
            <w:r w:rsidR="00E7667C">
              <w:noBreakHyphen/>
            </w:r>
            <w:r w:rsidR="00291C40">
              <w:t>H</w:t>
            </w:r>
            <w:r w:rsidR="00E7667C">
              <w:noBreakHyphen/>
            </w:r>
            <w:r w:rsidR="00291C40">
              <w:t>Bindung in Richtung C-O</w:t>
            </w:r>
            <w:r w:rsidR="00E7667C">
              <w:noBreakHyphen/>
            </w:r>
            <w:r w:rsidR="00291C40">
              <w:t>Bindung ein.</w:t>
            </w:r>
          </w:p>
          <w:p w14:paraId="1FCFF961" w14:textId="05A20A46" w:rsidR="00291C40" w:rsidRPr="00A01D6D" w:rsidRDefault="00291C40" w:rsidP="00AF349B">
            <w:pPr>
              <w:spacing w:line="276" w:lineRule="auto"/>
              <w:jc w:val="both"/>
            </w:pPr>
            <w:r w:rsidRPr="00291C40">
              <w:rPr>
                <w:noProof/>
              </w:rPr>
              <w:lastRenderedPageBreak/>
              <w:drawing>
                <wp:inline distT="0" distB="0" distL="0" distR="0" wp14:anchorId="3470C32C" wp14:editId="36BAFDF1">
                  <wp:extent cx="2109310" cy="1671144"/>
                  <wp:effectExtent l="0" t="0" r="0" b="571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894" cy="167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89EB670" w14:textId="00A34174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91C40" w14:paraId="25F1845F" w14:textId="77777777">
        <w:trPr>
          <w:trHeight w:val="851"/>
        </w:trPr>
        <w:tc>
          <w:tcPr>
            <w:tcW w:w="532" w:type="dxa"/>
            <w:vAlign w:val="center"/>
          </w:tcPr>
          <w:p w14:paraId="3F2E4E4B" w14:textId="77777777" w:rsidR="00291C40" w:rsidRDefault="00291C40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7E6404" w14:textId="77777777" w:rsidR="00291C40" w:rsidRDefault="00291C40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50BD1C46" w14:textId="7B2F3D6B" w:rsidR="00291C40" w:rsidRDefault="00291C40" w:rsidP="00AF349B">
            <w:pPr>
              <w:spacing w:line="276" w:lineRule="auto"/>
              <w:jc w:val="both"/>
            </w:pPr>
            <w:r>
              <w:t xml:space="preserve">Anschließend fügst Du einen Pfeil ausgehend von der Methylgruppe in Richtung </w:t>
            </w:r>
            <w:proofErr w:type="spellStart"/>
            <w:r>
              <w:t>Carbeniumion</w:t>
            </w:r>
            <w:proofErr w:type="spellEnd"/>
            <w:r w:rsidR="004C1BB4">
              <w:t xml:space="preserve"> hinzu</w:t>
            </w:r>
            <w:r>
              <w:t>.</w:t>
            </w:r>
          </w:p>
          <w:p w14:paraId="01CFE651" w14:textId="13250277" w:rsidR="00291C40" w:rsidRDefault="00291C40" w:rsidP="00AF349B">
            <w:pPr>
              <w:spacing w:line="276" w:lineRule="auto"/>
              <w:jc w:val="both"/>
            </w:pPr>
            <w:r w:rsidRPr="00291C40">
              <w:rPr>
                <w:noProof/>
              </w:rPr>
              <w:drawing>
                <wp:inline distT="0" distB="0" distL="0" distR="0" wp14:anchorId="0DDC597D" wp14:editId="6658177A">
                  <wp:extent cx="2238703" cy="1773658"/>
                  <wp:effectExtent l="0" t="0" r="0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31" cy="177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FC36474" w14:textId="77777777" w:rsidR="00291C40" w:rsidRDefault="00291C40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22767A1D" w:rsidR="00A053FE" w:rsidRDefault="00291C40" w:rsidP="00AF349B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In diesem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DigiChem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-Video wurde Dir der Lösungsweg zur Übung ,,Umlagerungen“ gezeigt.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9B23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7401" w14:textId="77777777" w:rsidR="00393BDC" w:rsidRDefault="00393BDC">
      <w:r>
        <w:separator/>
      </w:r>
    </w:p>
  </w:endnote>
  <w:endnote w:type="continuationSeparator" w:id="0">
    <w:p w14:paraId="0610BE13" w14:textId="77777777" w:rsidR="00393BDC" w:rsidRDefault="0039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0FEA" w14:textId="77777777" w:rsidR="00EA5DCA" w:rsidRDefault="00EA5D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449D" w14:textId="77777777" w:rsidR="009B2343" w:rsidRPr="00546F86" w:rsidRDefault="009B2343" w:rsidP="009B2343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50D9DEDC" wp14:editId="51478BF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40D26298" wp14:editId="621D3A75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66BBE1FF" w14:textId="77777777" w:rsidR="009B2343" w:rsidRDefault="009B2343" w:rsidP="009B2343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6588129" wp14:editId="5C5FAF86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7DC4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F1F2" w14:textId="77777777" w:rsidR="00393BDC" w:rsidRDefault="00393BDC">
      <w:r>
        <w:separator/>
      </w:r>
    </w:p>
  </w:footnote>
  <w:footnote w:type="continuationSeparator" w:id="0">
    <w:p w14:paraId="3A68563B" w14:textId="77777777" w:rsidR="00393BDC" w:rsidRDefault="0039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E79D" w14:textId="77777777" w:rsidR="00EA5DCA" w:rsidRDefault="00EA5D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CCB" w14:textId="77777777" w:rsidR="009B2343" w:rsidRDefault="009B2343" w:rsidP="009B2343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39ECA51" wp14:editId="2DC4882D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49EC05B6" w14:textId="0624EADD" w:rsidR="009B2343" w:rsidRPr="00631D01" w:rsidRDefault="009B2343" w:rsidP="009B2343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7A8FED6" wp14:editId="59454570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7EA3F945" w14:textId="77777777" w:rsidR="009B2343" w:rsidRDefault="009B2343" w:rsidP="009B2343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9DDA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2184112">
    <w:abstractNumId w:val="6"/>
  </w:num>
  <w:num w:numId="2" w16cid:durableId="138353669">
    <w:abstractNumId w:val="1"/>
  </w:num>
  <w:num w:numId="3" w16cid:durableId="1512451834">
    <w:abstractNumId w:val="4"/>
  </w:num>
  <w:num w:numId="4" w16cid:durableId="1513955741">
    <w:abstractNumId w:val="3"/>
  </w:num>
  <w:num w:numId="5" w16cid:durableId="2141267967">
    <w:abstractNumId w:val="5"/>
  </w:num>
  <w:num w:numId="6" w16cid:durableId="1474642550">
    <w:abstractNumId w:val="0"/>
  </w:num>
  <w:num w:numId="7" w16cid:durableId="7690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D0622"/>
    <w:rsid w:val="0016394A"/>
    <w:rsid w:val="001A1F60"/>
    <w:rsid w:val="001B123C"/>
    <w:rsid w:val="0021254A"/>
    <w:rsid w:val="00235E3C"/>
    <w:rsid w:val="00265ED2"/>
    <w:rsid w:val="00270608"/>
    <w:rsid w:val="002867E4"/>
    <w:rsid w:val="00291C40"/>
    <w:rsid w:val="002E46F5"/>
    <w:rsid w:val="002F48A8"/>
    <w:rsid w:val="0032127F"/>
    <w:rsid w:val="00326071"/>
    <w:rsid w:val="00393BDC"/>
    <w:rsid w:val="003941A3"/>
    <w:rsid w:val="003E2725"/>
    <w:rsid w:val="003F7079"/>
    <w:rsid w:val="004104D8"/>
    <w:rsid w:val="004310AF"/>
    <w:rsid w:val="00460569"/>
    <w:rsid w:val="0046348F"/>
    <w:rsid w:val="004A2A98"/>
    <w:rsid w:val="004C169C"/>
    <w:rsid w:val="004C1BB4"/>
    <w:rsid w:val="00513DCD"/>
    <w:rsid w:val="00577324"/>
    <w:rsid w:val="00583FF7"/>
    <w:rsid w:val="005F67D8"/>
    <w:rsid w:val="0063041A"/>
    <w:rsid w:val="00637DA4"/>
    <w:rsid w:val="006E2522"/>
    <w:rsid w:val="0071116E"/>
    <w:rsid w:val="0073372F"/>
    <w:rsid w:val="00746CF7"/>
    <w:rsid w:val="00752785"/>
    <w:rsid w:val="007975CA"/>
    <w:rsid w:val="007A4B36"/>
    <w:rsid w:val="007C3BA1"/>
    <w:rsid w:val="007D4230"/>
    <w:rsid w:val="00811413"/>
    <w:rsid w:val="00822DC8"/>
    <w:rsid w:val="0084376C"/>
    <w:rsid w:val="008668E3"/>
    <w:rsid w:val="00876B01"/>
    <w:rsid w:val="008A1645"/>
    <w:rsid w:val="008D4733"/>
    <w:rsid w:val="00907AC3"/>
    <w:rsid w:val="00920E19"/>
    <w:rsid w:val="009301F0"/>
    <w:rsid w:val="009303E4"/>
    <w:rsid w:val="00961F1C"/>
    <w:rsid w:val="0097699A"/>
    <w:rsid w:val="00986ACB"/>
    <w:rsid w:val="009879E4"/>
    <w:rsid w:val="009A0DCE"/>
    <w:rsid w:val="009B2343"/>
    <w:rsid w:val="009B51B3"/>
    <w:rsid w:val="009E0C95"/>
    <w:rsid w:val="00A01D6D"/>
    <w:rsid w:val="00A053FE"/>
    <w:rsid w:val="00A112F9"/>
    <w:rsid w:val="00A173AC"/>
    <w:rsid w:val="00A328A1"/>
    <w:rsid w:val="00AF349B"/>
    <w:rsid w:val="00B37FCF"/>
    <w:rsid w:val="00B63164"/>
    <w:rsid w:val="00B9777D"/>
    <w:rsid w:val="00B978F5"/>
    <w:rsid w:val="00BA0F95"/>
    <w:rsid w:val="00BA5AF6"/>
    <w:rsid w:val="00BC4D4E"/>
    <w:rsid w:val="00C20AC5"/>
    <w:rsid w:val="00C512ED"/>
    <w:rsid w:val="00C70F0A"/>
    <w:rsid w:val="00C83334"/>
    <w:rsid w:val="00CB33AD"/>
    <w:rsid w:val="00CC206B"/>
    <w:rsid w:val="00D055DC"/>
    <w:rsid w:val="00D10394"/>
    <w:rsid w:val="00D231EC"/>
    <w:rsid w:val="00D34ED5"/>
    <w:rsid w:val="00D75A12"/>
    <w:rsid w:val="00DA17AF"/>
    <w:rsid w:val="00DB30CA"/>
    <w:rsid w:val="00DD19D6"/>
    <w:rsid w:val="00DE2C21"/>
    <w:rsid w:val="00DE58E3"/>
    <w:rsid w:val="00DF59D1"/>
    <w:rsid w:val="00E135D1"/>
    <w:rsid w:val="00E25CCB"/>
    <w:rsid w:val="00E53EA5"/>
    <w:rsid w:val="00E7667C"/>
    <w:rsid w:val="00E92A15"/>
    <w:rsid w:val="00EA5DCA"/>
    <w:rsid w:val="00EC4394"/>
    <w:rsid w:val="00EE3CE0"/>
    <w:rsid w:val="00EE570A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8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7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58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8C29-442B-4C68-8D4E-BFDC537F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7</cp:revision>
  <dcterms:created xsi:type="dcterms:W3CDTF">2022-08-15T11:58:00Z</dcterms:created>
  <dcterms:modified xsi:type="dcterms:W3CDTF">2022-12-05T16:58:00Z</dcterms:modified>
  <dc:language>de-DE</dc:language>
</cp:coreProperties>
</file>