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51A82FF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B33B3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_a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-00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e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9905009" w:rsidR="001947EB" w:rsidRPr="002D6927" w:rsidRDefault="005224C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Fachlich Arbeiten - Kapitälchen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D01C4EB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2021.05.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12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94442D6" w:rsidR="001947EB" w:rsidRPr="002D6927" w:rsidRDefault="005224CE">
            <w:pPr>
              <w:widowControl w:val="0"/>
              <w:spacing w:line="276" w:lineRule="auto"/>
              <w:rPr>
                <w:rFonts w:cstheme="minorHAnsi"/>
              </w:rPr>
            </w:pPr>
            <w:r w:rsidRP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das Kapitälchen in Texten richtig einsetzen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1777DBF5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7938"/>
        <w:gridCol w:w="2693"/>
      </w:tblGrid>
      <w:tr w:rsidR="005224CE" w:rsidRPr="00511AD0" w14:paraId="476B3BB6" w14:textId="77777777" w:rsidTr="005224CE">
        <w:tc>
          <w:tcPr>
            <w:tcW w:w="702" w:type="dxa"/>
          </w:tcPr>
          <w:p w14:paraId="377A3CF1" w14:textId="77777777" w:rsidR="005224CE" w:rsidRPr="004C1A6D" w:rsidRDefault="005224CE" w:rsidP="00A252B8">
            <w:pPr>
              <w:rPr>
                <w:b/>
              </w:rPr>
            </w:pPr>
            <w:r w:rsidRPr="004C1A6D">
              <w:rPr>
                <w:b/>
              </w:rPr>
              <w:t>Nr.</w:t>
            </w:r>
          </w:p>
        </w:tc>
        <w:tc>
          <w:tcPr>
            <w:tcW w:w="2979" w:type="dxa"/>
          </w:tcPr>
          <w:p w14:paraId="6780BD2B" w14:textId="3C2ED870" w:rsidR="005224CE" w:rsidRPr="004C1A6D" w:rsidRDefault="005224CE" w:rsidP="00A252B8">
            <w:pPr>
              <w:rPr>
                <w:b/>
              </w:rPr>
            </w:pPr>
            <w:r w:rsidRPr="004C1A6D">
              <w:rPr>
                <w:b/>
              </w:rPr>
              <w:t>Medi</w:t>
            </w:r>
            <w:r w:rsidR="004C1A6D" w:rsidRPr="004C1A6D">
              <w:rPr>
                <w:b/>
              </w:rPr>
              <w:t>um</w:t>
            </w:r>
          </w:p>
        </w:tc>
        <w:tc>
          <w:tcPr>
            <w:tcW w:w="7938" w:type="dxa"/>
          </w:tcPr>
          <w:p w14:paraId="50E60FBC" w14:textId="4C568475" w:rsidR="005224CE" w:rsidRPr="004C1A6D" w:rsidRDefault="004C1A6D" w:rsidP="00A252B8">
            <w:pPr>
              <w:rPr>
                <w:b/>
              </w:rPr>
            </w:pPr>
            <w:r w:rsidRPr="004C1A6D">
              <w:rPr>
                <w:b/>
              </w:rPr>
              <w:t>Gesprochener Text</w:t>
            </w:r>
          </w:p>
        </w:tc>
        <w:tc>
          <w:tcPr>
            <w:tcW w:w="2693" w:type="dxa"/>
          </w:tcPr>
          <w:p w14:paraId="1E052BBA" w14:textId="77777777" w:rsidR="005224CE" w:rsidRPr="004C1A6D" w:rsidRDefault="005224CE" w:rsidP="00A252B8">
            <w:pPr>
              <w:rPr>
                <w:b/>
              </w:rPr>
            </w:pPr>
            <w:r w:rsidRPr="004C1A6D">
              <w:rPr>
                <w:b/>
              </w:rPr>
              <w:t>Kommentar</w:t>
            </w:r>
          </w:p>
        </w:tc>
        <w:bookmarkStart w:id="0" w:name="_GoBack"/>
        <w:bookmarkEnd w:id="0"/>
      </w:tr>
      <w:tr w:rsidR="005224CE" w:rsidRPr="00511AD0" w14:paraId="5A43DF7D" w14:textId="77777777" w:rsidTr="005224CE">
        <w:tc>
          <w:tcPr>
            <w:tcW w:w="702" w:type="dxa"/>
          </w:tcPr>
          <w:p w14:paraId="77DE9758" w14:textId="77777777" w:rsidR="005224CE" w:rsidRPr="00511AD0" w:rsidRDefault="005224CE" w:rsidP="00A252B8">
            <w:r w:rsidRPr="00511AD0">
              <w:t>1</w:t>
            </w:r>
          </w:p>
        </w:tc>
        <w:tc>
          <w:tcPr>
            <w:tcW w:w="2979" w:type="dxa"/>
          </w:tcPr>
          <w:p w14:paraId="31611031" w14:textId="77777777" w:rsidR="005224CE" w:rsidRPr="00511AD0" w:rsidRDefault="005224CE" w:rsidP="00A252B8">
            <w:r w:rsidRPr="00511AD0">
              <w:t>Teaser/Intro</w:t>
            </w:r>
          </w:p>
        </w:tc>
        <w:tc>
          <w:tcPr>
            <w:tcW w:w="7938" w:type="dxa"/>
          </w:tcPr>
          <w:p w14:paraId="73B70023" w14:textId="7675CA6A" w:rsidR="005224CE" w:rsidRPr="00406E77" w:rsidRDefault="005224CE" w:rsidP="00A252B8">
            <w:pPr>
              <w:rPr>
                <w:i/>
              </w:rPr>
            </w:pPr>
            <w:r w:rsidRPr="005224CE">
              <w:rPr>
                <w:i/>
                <w:lang w:eastAsia="de-DE"/>
              </w:rPr>
              <w:t>Fachlich Arbeiten - Kapitälchen</w:t>
            </w:r>
          </w:p>
        </w:tc>
        <w:tc>
          <w:tcPr>
            <w:tcW w:w="2693" w:type="dxa"/>
          </w:tcPr>
          <w:p w14:paraId="1C96A4FB" w14:textId="77777777" w:rsidR="005224CE" w:rsidRPr="00511AD0" w:rsidRDefault="005224CE" w:rsidP="00A252B8">
            <w:r w:rsidRPr="00511AD0">
              <w:t>-</w:t>
            </w:r>
          </w:p>
        </w:tc>
      </w:tr>
      <w:tr w:rsidR="005224CE" w:rsidRPr="00511AD0" w14:paraId="1DC97703" w14:textId="77777777" w:rsidTr="005224CE">
        <w:tc>
          <w:tcPr>
            <w:tcW w:w="702" w:type="dxa"/>
          </w:tcPr>
          <w:p w14:paraId="78E1A1FD" w14:textId="77777777" w:rsidR="005224CE" w:rsidRPr="00511AD0" w:rsidRDefault="005224CE" w:rsidP="00A252B8">
            <w:r w:rsidRPr="00511AD0">
              <w:t>2</w:t>
            </w:r>
          </w:p>
        </w:tc>
        <w:tc>
          <w:tcPr>
            <w:tcW w:w="2979" w:type="dxa"/>
          </w:tcPr>
          <w:p w14:paraId="0310501D" w14:textId="77777777" w:rsidR="005224CE" w:rsidRPr="00145D1C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7938" w:type="dxa"/>
          </w:tcPr>
          <w:p w14:paraId="23DE1CE9" w14:textId="77777777" w:rsidR="005224CE" w:rsidRDefault="005224CE" w:rsidP="00A252B8">
            <w:r>
              <w:t>Hallo,</w:t>
            </w:r>
          </w:p>
          <w:p w14:paraId="1B07EF37" w14:textId="77777777" w:rsidR="005224CE" w:rsidRPr="00511AD0" w:rsidRDefault="005224CE" w:rsidP="00A252B8">
            <w:r>
              <w:t>In diesem DigiChem Video lernst Du, wie und wann du das Kapitälchen anwendest.</w:t>
            </w:r>
          </w:p>
        </w:tc>
        <w:tc>
          <w:tcPr>
            <w:tcW w:w="2693" w:type="dxa"/>
          </w:tcPr>
          <w:p w14:paraId="74E55A63" w14:textId="77777777" w:rsidR="005224CE" w:rsidRPr="00511AD0" w:rsidRDefault="005224CE" w:rsidP="00A252B8"/>
        </w:tc>
      </w:tr>
      <w:tr w:rsidR="005224CE" w:rsidRPr="00511AD0" w14:paraId="46216EDA" w14:textId="77777777" w:rsidTr="005224CE">
        <w:tc>
          <w:tcPr>
            <w:tcW w:w="702" w:type="dxa"/>
          </w:tcPr>
          <w:p w14:paraId="54E7690F" w14:textId="77777777" w:rsidR="005224CE" w:rsidRPr="00511AD0" w:rsidRDefault="005224CE" w:rsidP="00A252B8">
            <w:r w:rsidRPr="00511AD0">
              <w:t>3</w:t>
            </w:r>
          </w:p>
        </w:tc>
        <w:tc>
          <w:tcPr>
            <w:tcW w:w="2979" w:type="dxa"/>
          </w:tcPr>
          <w:p w14:paraId="063891CB" w14:textId="610656CC" w:rsidR="005224CE" w:rsidRPr="00145D1C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7938" w:type="dxa"/>
          </w:tcPr>
          <w:p w14:paraId="433DBFB5" w14:textId="77777777" w:rsidR="005224CE" w:rsidRPr="00374B6B" w:rsidRDefault="005224CE" w:rsidP="00A252B8"/>
        </w:tc>
        <w:tc>
          <w:tcPr>
            <w:tcW w:w="2693" w:type="dxa"/>
          </w:tcPr>
          <w:p w14:paraId="4CB7E6E3" w14:textId="77777777" w:rsidR="005224CE" w:rsidRPr="00145D1C" w:rsidRDefault="005224CE" w:rsidP="00A252B8">
            <w:pPr>
              <w:rPr>
                <w:lang w:bidi="ar-SA"/>
              </w:rPr>
            </w:pPr>
            <w:r w:rsidRPr="00A4521D">
              <w:rPr>
                <w:lang w:bidi="ar-SA"/>
              </w:rPr>
              <w:t>Hier Word einblenden</w:t>
            </w:r>
          </w:p>
        </w:tc>
      </w:tr>
      <w:tr w:rsidR="005224CE" w:rsidRPr="00511AD0" w14:paraId="725D811D" w14:textId="77777777" w:rsidTr="005224CE">
        <w:tc>
          <w:tcPr>
            <w:tcW w:w="702" w:type="dxa"/>
          </w:tcPr>
          <w:p w14:paraId="0BA6799D" w14:textId="77777777" w:rsidR="005224CE" w:rsidRPr="00511AD0" w:rsidRDefault="005224CE" w:rsidP="00A252B8">
            <w:r w:rsidRPr="00511AD0">
              <w:t>4</w:t>
            </w:r>
          </w:p>
        </w:tc>
        <w:tc>
          <w:tcPr>
            <w:tcW w:w="2979" w:type="dxa"/>
          </w:tcPr>
          <w:p w14:paraId="0C943C67" w14:textId="77777777" w:rsidR="005224CE" w:rsidRPr="00511AD0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7938" w:type="dxa"/>
          </w:tcPr>
          <w:p w14:paraId="2DDDF005" w14:textId="77777777" w:rsidR="005224CE" w:rsidRPr="00511AD0" w:rsidRDefault="005224CE" w:rsidP="00A252B8">
            <w:r w:rsidRPr="00EC70A7">
              <w:t>Kapitälchen sind Großbuchstaben, die jedoch auf derselben Schrifthöhe stehen wie Kleinbuchstaben. So sind zwar alle Buchstaben groß, man kann</w:t>
            </w:r>
            <w:r>
              <w:t xml:space="preserve"> sie aber noch von „echten“</w:t>
            </w:r>
            <w:r w:rsidRPr="00EC70A7">
              <w:t xml:space="preserve"> Großbuchstaben</w:t>
            </w:r>
            <w:r>
              <w:t xml:space="preserve"> </w:t>
            </w:r>
            <w:r w:rsidRPr="00EC70A7">
              <w:t>unterscheiden</w:t>
            </w:r>
            <w:r>
              <w:t>.</w:t>
            </w:r>
          </w:p>
        </w:tc>
        <w:tc>
          <w:tcPr>
            <w:tcW w:w="2693" w:type="dxa"/>
          </w:tcPr>
          <w:p w14:paraId="5E6F6408" w14:textId="77777777" w:rsidR="005224CE" w:rsidRPr="00511AD0" w:rsidRDefault="005224CE" w:rsidP="00A252B8"/>
        </w:tc>
      </w:tr>
      <w:tr w:rsidR="005224CE" w:rsidRPr="00511AD0" w14:paraId="161A185C" w14:textId="77777777" w:rsidTr="005224CE">
        <w:tc>
          <w:tcPr>
            <w:tcW w:w="702" w:type="dxa"/>
          </w:tcPr>
          <w:p w14:paraId="082F1932" w14:textId="77777777" w:rsidR="005224CE" w:rsidRPr="00511AD0" w:rsidRDefault="005224CE" w:rsidP="00A252B8">
            <w:r w:rsidRPr="00511AD0">
              <w:t>5</w:t>
            </w:r>
          </w:p>
        </w:tc>
        <w:tc>
          <w:tcPr>
            <w:tcW w:w="2979" w:type="dxa"/>
          </w:tcPr>
          <w:p w14:paraId="11E636C2" w14:textId="77777777" w:rsidR="005224CE" w:rsidRPr="00511AD0" w:rsidRDefault="005224CE" w:rsidP="00A252B8">
            <w:r>
              <w:rPr>
                <w:lang w:bidi="ar-SA"/>
              </w:rPr>
              <w:t>Screencast</w:t>
            </w:r>
          </w:p>
        </w:tc>
        <w:tc>
          <w:tcPr>
            <w:tcW w:w="7938" w:type="dxa"/>
          </w:tcPr>
          <w:p w14:paraId="47CF6EAB" w14:textId="77777777" w:rsidR="005224CE" w:rsidRDefault="005224CE" w:rsidP="00A252B8">
            <w:r w:rsidRPr="00EC70A7">
              <w:t>Die Kapitälchen werden in</w:t>
            </w:r>
            <w:r>
              <w:t xml:space="preserve"> chemischen Facht</w:t>
            </w:r>
            <w:r w:rsidRPr="00EC70A7">
              <w:t>exten an zwei Stellen verwendet</w:t>
            </w:r>
          </w:p>
          <w:p w14:paraId="7BD566D1" w14:textId="77777777" w:rsidR="005224CE" w:rsidRDefault="005224CE" w:rsidP="00A252B8">
            <w:r>
              <w:t xml:space="preserve">Als Abkürzung </w:t>
            </w:r>
            <w:r w:rsidRPr="00EC70A7">
              <w:rPr>
                <w:smallCaps/>
                <w:kern w:val="22"/>
              </w:rPr>
              <w:t>m</w:t>
            </w:r>
            <w:r>
              <w:t xml:space="preserve"> für die Konzentration mol L</w:t>
            </w:r>
            <w:r w:rsidRPr="00601C35">
              <w:rPr>
                <w:vertAlign w:val="superscript"/>
              </w:rPr>
              <w:t>−1</w:t>
            </w:r>
          </w:p>
          <w:p w14:paraId="44D651D1" w14:textId="77777777" w:rsidR="005224CE" w:rsidRDefault="005224CE" w:rsidP="00A252B8">
            <w:r>
              <w:t xml:space="preserve">Sowie bei den Stereodeskriptoren </w:t>
            </w:r>
            <w:r w:rsidRPr="00EC70A7">
              <w:rPr>
                <w:smallCaps/>
                <w:kern w:val="22"/>
              </w:rPr>
              <w:t>d</w:t>
            </w:r>
            <w:r>
              <w:t xml:space="preserve"> und </w:t>
            </w:r>
            <w:r w:rsidRPr="00EC70A7">
              <w:rPr>
                <w:smallCaps/>
                <w:kern w:val="22"/>
              </w:rPr>
              <w:t>l</w:t>
            </w:r>
            <w:r>
              <w:t xml:space="preserve"> </w:t>
            </w:r>
          </w:p>
          <w:p w14:paraId="6D0D9C5C" w14:textId="77777777" w:rsidR="005224CE" w:rsidRPr="00511AD0" w:rsidRDefault="005224CE" w:rsidP="00A252B8">
            <w:r>
              <w:t>Achtung: (</w:t>
            </w:r>
            <w:r w:rsidRPr="00EC70A7">
              <w:rPr>
                <w:i/>
              </w:rPr>
              <w:t>R</w:t>
            </w:r>
            <w:r>
              <w:rPr>
                <w:i/>
              </w:rPr>
              <w:t>)</w:t>
            </w:r>
            <w:r>
              <w:t xml:space="preserve"> und (</w:t>
            </w:r>
            <w:r w:rsidRPr="00EC70A7">
              <w:rPr>
                <w:i/>
              </w:rPr>
              <w:t>S</w:t>
            </w:r>
            <w:r>
              <w:rPr>
                <w:i/>
              </w:rPr>
              <w:t>)</w:t>
            </w:r>
            <w:r>
              <w:t xml:space="preserve"> werden hingegen kursiv in Klammern dargestellt und nicht als Kapitälchen!</w:t>
            </w:r>
          </w:p>
        </w:tc>
        <w:tc>
          <w:tcPr>
            <w:tcW w:w="2693" w:type="dxa"/>
          </w:tcPr>
          <w:p w14:paraId="7ABA0DAA" w14:textId="77777777" w:rsidR="005224CE" w:rsidRDefault="005224CE" w:rsidP="00A252B8"/>
          <w:p w14:paraId="4EAB20E7" w14:textId="77777777" w:rsidR="005224CE" w:rsidRPr="00511AD0" w:rsidRDefault="005224CE" w:rsidP="00A252B8"/>
        </w:tc>
      </w:tr>
      <w:tr w:rsidR="005224CE" w:rsidRPr="00511AD0" w14:paraId="53F767BC" w14:textId="77777777" w:rsidTr="005224CE">
        <w:tc>
          <w:tcPr>
            <w:tcW w:w="702" w:type="dxa"/>
          </w:tcPr>
          <w:p w14:paraId="02253E1E" w14:textId="77777777" w:rsidR="005224CE" w:rsidRPr="00511AD0" w:rsidRDefault="005224CE" w:rsidP="00A252B8">
            <w:r w:rsidRPr="00511AD0">
              <w:t>6</w:t>
            </w:r>
          </w:p>
        </w:tc>
        <w:tc>
          <w:tcPr>
            <w:tcW w:w="2979" w:type="dxa"/>
          </w:tcPr>
          <w:p w14:paraId="20C10795" w14:textId="56A7C4BF" w:rsidR="00955F4D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5FC0D74" w14:textId="77777777" w:rsidR="00955F4D" w:rsidRDefault="00955F4D" w:rsidP="00A252B8">
            <w:pPr>
              <w:rPr>
                <w:lang w:bidi="ar-SA"/>
              </w:rPr>
            </w:pPr>
          </w:p>
          <w:p w14:paraId="69CCBD51" w14:textId="34C49E5C" w:rsidR="00955F4D" w:rsidRPr="00511AD0" w:rsidRDefault="00955F4D" w:rsidP="00A252B8">
            <w:pPr>
              <w:rPr>
                <w:lang w:bidi="ar-SA"/>
              </w:rPr>
            </w:pPr>
            <w:r>
              <w:rPr>
                <w:lang w:bidi="ar-SA"/>
              </w:rPr>
              <w:lastRenderedPageBreak/>
              <w:t>Avatar Tipp:</w:t>
            </w:r>
          </w:p>
        </w:tc>
        <w:tc>
          <w:tcPr>
            <w:tcW w:w="7938" w:type="dxa"/>
          </w:tcPr>
          <w:p w14:paraId="7D1F4C72" w14:textId="77777777" w:rsidR="00955F4D" w:rsidRDefault="005224CE" w:rsidP="00A252B8">
            <w:r>
              <w:lastRenderedPageBreak/>
              <w:t>Markiere die entsprechenden Buchstaben.</w:t>
            </w:r>
          </w:p>
          <w:p w14:paraId="69779409" w14:textId="43751123" w:rsidR="005224CE" w:rsidRPr="00A5326E" w:rsidRDefault="005224CE" w:rsidP="00A252B8">
            <w:r>
              <w:lastRenderedPageBreak/>
              <w:t>Mein Tipp: Wenn du mehrere Buchstaben auswählen möchtest die nicht verbunden sind, halte „Strg“ gedrückt und markiere dann mit dem Cursor und der linken Maustaste die Buchstaben.</w:t>
            </w:r>
          </w:p>
        </w:tc>
        <w:tc>
          <w:tcPr>
            <w:tcW w:w="2693" w:type="dxa"/>
          </w:tcPr>
          <w:p w14:paraId="0E93B79B" w14:textId="77777777" w:rsidR="005224CE" w:rsidRPr="00511AD0" w:rsidRDefault="005224CE" w:rsidP="00A252B8"/>
        </w:tc>
      </w:tr>
      <w:tr w:rsidR="005224CE" w:rsidRPr="00511AD0" w14:paraId="5D46B2A6" w14:textId="77777777" w:rsidTr="005224CE">
        <w:tc>
          <w:tcPr>
            <w:tcW w:w="702" w:type="dxa"/>
          </w:tcPr>
          <w:p w14:paraId="55537A80" w14:textId="77777777" w:rsidR="005224CE" w:rsidRPr="00511AD0" w:rsidRDefault="005224CE" w:rsidP="00A252B8">
            <w:r w:rsidRPr="00511AD0">
              <w:t>7</w:t>
            </w:r>
          </w:p>
        </w:tc>
        <w:tc>
          <w:tcPr>
            <w:tcW w:w="2979" w:type="dxa"/>
          </w:tcPr>
          <w:p w14:paraId="7E8F6D38" w14:textId="77777777" w:rsidR="005224CE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F5DECB0" w14:textId="03B27114" w:rsidR="005224CE" w:rsidRPr="00511AD0" w:rsidRDefault="005224CE" w:rsidP="00A252B8"/>
        </w:tc>
        <w:tc>
          <w:tcPr>
            <w:tcW w:w="7938" w:type="dxa"/>
          </w:tcPr>
          <w:p w14:paraId="314DF2C8" w14:textId="77777777" w:rsidR="005224CE" w:rsidRDefault="005224CE" w:rsidP="00A252B8">
            <w:r>
              <w:t>W</w:t>
            </w:r>
            <w:r w:rsidRPr="001175A6">
              <w:t xml:space="preserve">ähle </w:t>
            </w:r>
            <w:r>
              <w:t>im Start-Register die untere rechte Ecke bei „Schriftart“ aus um das erweiterte Menüfenster „Schriftart“ zu öffnen.</w:t>
            </w:r>
          </w:p>
          <w:p w14:paraId="1667AA24" w14:textId="77777777" w:rsidR="005224CE" w:rsidRDefault="005224CE" w:rsidP="00A252B8">
            <w:r>
              <w:t>nutze alternativ den Shortcut:</w:t>
            </w:r>
          </w:p>
          <w:p w14:paraId="21F6E57F" w14:textId="77777777" w:rsidR="005224CE" w:rsidRDefault="005224CE" w:rsidP="00A252B8">
            <w:r>
              <w:t>Strg + D</w:t>
            </w:r>
          </w:p>
          <w:p w14:paraId="17CEF861" w14:textId="77777777" w:rsidR="005224CE" w:rsidRPr="00F61120" w:rsidRDefault="005224CE" w:rsidP="00A252B8"/>
        </w:tc>
        <w:tc>
          <w:tcPr>
            <w:tcW w:w="2693" w:type="dxa"/>
          </w:tcPr>
          <w:p w14:paraId="074E2DFB" w14:textId="77777777" w:rsidR="005224CE" w:rsidRPr="00511AD0" w:rsidRDefault="005224CE" w:rsidP="00A252B8"/>
        </w:tc>
      </w:tr>
      <w:tr w:rsidR="005224CE" w:rsidRPr="00511AD0" w14:paraId="227B1D67" w14:textId="77777777" w:rsidTr="005224CE">
        <w:tc>
          <w:tcPr>
            <w:tcW w:w="702" w:type="dxa"/>
          </w:tcPr>
          <w:p w14:paraId="7C407A8B" w14:textId="77777777" w:rsidR="005224CE" w:rsidRPr="00511AD0" w:rsidRDefault="005224CE" w:rsidP="00A252B8">
            <w:r w:rsidRPr="00511AD0">
              <w:t>8</w:t>
            </w:r>
          </w:p>
        </w:tc>
        <w:tc>
          <w:tcPr>
            <w:tcW w:w="2979" w:type="dxa"/>
          </w:tcPr>
          <w:p w14:paraId="50AA2A72" w14:textId="77777777" w:rsidR="005224CE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B2B2C4F" w14:textId="6FA8C309" w:rsidR="005224CE" w:rsidRPr="00511AD0" w:rsidRDefault="005224CE" w:rsidP="00A252B8"/>
        </w:tc>
        <w:tc>
          <w:tcPr>
            <w:tcW w:w="7938" w:type="dxa"/>
          </w:tcPr>
          <w:p w14:paraId="324FA4D2" w14:textId="77777777" w:rsidR="005224CE" w:rsidRDefault="005224CE" w:rsidP="00A252B8">
            <w:r>
              <w:t>Setze in dem geöffneten Menüfenster</w:t>
            </w:r>
            <w:r w:rsidRPr="001175A6">
              <w:t xml:space="preserve"> </w:t>
            </w:r>
            <w:r>
              <w:t>einen Haken bei Kapitälchen und bestätige</w:t>
            </w:r>
            <w:r w:rsidRPr="001175A6">
              <w:t xml:space="preserve"> m</w:t>
            </w:r>
            <w:r>
              <w:t>it OK.</w:t>
            </w:r>
          </w:p>
          <w:p w14:paraId="3472E920" w14:textId="77777777" w:rsidR="005224CE" w:rsidRDefault="005224CE" w:rsidP="00A252B8"/>
          <w:p w14:paraId="37664C7D" w14:textId="77777777" w:rsidR="005224CE" w:rsidRPr="00511AD0" w:rsidRDefault="005224CE" w:rsidP="00A252B8">
            <w:r>
              <w:t xml:space="preserve">Kapitälchen kannst du auch mit dem Shortcut „Strg. + </w:t>
            </w:r>
            <w:proofErr w:type="spellStart"/>
            <w:r>
              <w:t>Umschalt</w:t>
            </w:r>
            <w:proofErr w:type="spellEnd"/>
            <w:r>
              <w:t xml:space="preserve"> + Q“ erstellen.</w:t>
            </w:r>
          </w:p>
        </w:tc>
        <w:tc>
          <w:tcPr>
            <w:tcW w:w="2693" w:type="dxa"/>
          </w:tcPr>
          <w:p w14:paraId="5D550A5B" w14:textId="77777777" w:rsidR="005224CE" w:rsidRPr="00511AD0" w:rsidRDefault="005224CE" w:rsidP="00A252B8"/>
        </w:tc>
      </w:tr>
      <w:tr w:rsidR="005224CE" w:rsidRPr="00511AD0" w14:paraId="4AD2E99E" w14:textId="77777777" w:rsidTr="005224CE">
        <w:tc>
          <w:tcPr>
            <w:tcW w:w="702" w:type="dxa"/>
          </w:tcPr>
          <w:p w14:paraId="6823B1D0" w14:textId="77777777" w:rsidR="005224CE" w:rsidRPr="00511AD0" w:rsidRDefault="005224CE" w:rsidP="00A252B8">
            <w:r w:rsidRPr="00511AD0">
              <w:t>9</w:t>
            </w:r>
          </w:p>
        </w:tc>
        <w:tc>
          <w:tcPr>
            <w:tcW w:w="2979" w:type="dxa"/>
          </w:tcPr>
          <w:p w14:paraId="3C6957A6" w14:textId="77777777" w:rsidR="005224CE" w:rsidRPr="00511AD0" w:rsidRDefault="005224CE" w:rsidP="00A252B8">
            <w:pPr>
              <w:rPr>
                <w:lang w:bidi="ar-SA"/>
              </w:rPr>
            </w:pPr>
            <w:r>
              <w:rPr>
                <w:lang w:bidi="ar-SA"/>
              </w:rPr>
              <w:t xml:space="preserve">Screencast </w:t>
            </w:r>
          </w:p>
        </w:tc>
        <w:tc>
          <w:tcPr>
            <w:tcW w:w="7938" w:type="dxa"/>
          </w:tcPr>
          <w:p w14:paraId="3054420A" w14:textId="77777777" w:rsidR="005224CE" w:rsidRPr="00117142" w:rsidRDefault="005224CE" w:rsidP="00A252B8">
            <w:r>
              <w:t xml:space="preserve">Eine </w:t>
            </w:r>
            <w:r w:rsidRPr="002F0ECA">
              <w:t>weiter</w:t>
            </w:r>
            <w:r>
              <w:t>e</w:t>
            </w:r>
            <w:r w:rsidRPr="002F0ECA">
              <w:t xml:space="preserve"> Anwendung </w:t>
            </w:r>
            <w:proofErr w:type="gramStart"/>
            <w:r w:rsidRPr="002F0ECA">
              <w:t>finden</w:t>
            </w:r>
            <w:proofErr w:type="gramEnd"/>
            <w:r>
              <w:t xml:space="preserve"> Kapitälchen häufig bei Akronymen. Ein bekanntes Beispiel ist </w:t>
            </w:r>
            <w:proofErr w:type="spellStart"/>
            <w:r w:rsidRPr="00047839">
              <w:rPr>
                <w:smallCaps/>
                <w:kern w:val="22"/>
              </w:rPr>
              <w:t>iupac</w:t>
            </w:r>
            <w:proofErr w:type="spellEnd"/>
            <w:r>
              <w:rPr>
                <w:smallCaps/>
                <w:kern w:val="22"/>
              </w:rPr>
              <w:t>.</w:t>
            </w:r>
          </w:p>
        </w:tc>
        <w:tc>
          <w:tcPr>
            <w:tcW w:w="2693" w:type="dxa"/>
          </w:tcPr>
          <w:p w14:paraId="725F3DCE" w14:textId="77777777" w:rsidR="005224CE" w:rsidRPr="00511AD0" w:rsidRDefault="005224CE" w:rsidP="00A252B8"/>
        </w:tc>
      </w:tr>
      <w:tr w:rsidR="005224CE" w:rsidRPr="00511AD0" w14:paraId="08804163" w14:textId="77777777" w:rsidTr="005224CE">
        <w:tc>
          <w:tcPr>
            <w:tcW w:w="702" w:type="dxa"/>
          </w:tcPr>
          <w:p w14:paraId="18592DE3" w14:textId="71C39BC6" w:rsidR="005224CE" w:rsidRPr="00511AD0" w:rsidRDefault="005224CE" w:rsidP="00A252B8">
            <w:r w:rsidRPr="00511AD0">
              <w:t>1</w:t>
            </w:r>
            <w:r>
              <w:t>0</w:t>
            </w:r>
          </w:p>
        </w:tc>
        <w:tc>
          <w:tcPr>
            <w:tcW w:w="2979" w:type="dxa"/>
          </w:tcPr>
          <w:p w14:paraId="76116B5C" w14:textId="77777777" w:rsidR="005224CE" w:rsidRPr="00511AD0" w:rsidRDefault="005224CE" w:rsidP="00A252B8">
            <w:r>
              <w:t>Avatar Hinweis:</w:t>
            </w:r>
          </w:p>
        </w:tc>
        <w:tc>
          <w:tcPr>
            <w:tcW w:w="7938" w:type="dxa"/>
          </w:tcPr>
          <w:p w14:paraId="1550A541" w14:textId="77777777" w:rsidR="005224CE" w:rsidRPr="00511AD0" w:rsidRDefault="005224CE" w:rsidP="00A252B8">
            <w:r>
              <w:t xml:space="preserve">Hinweis: Wende Kapitälchen nicht auf </w:t>
            </w:r>
            <w:proofErr w:type="gramStart"/>
            <w:r>
              <w:t>Großbuchstaben</w:t>
            </w:r>
            <w:proofErr w:type="gramEnd"/>
            <w:r>
              <w:t xml:space="preserve"> sondern immer auf die klein geschriebenen Buchstaben an!</w:t>
            </w:r>
          </w:p>
        </w:tc>
        <w:tc>
          <w:tcPr>
            <w:tcW w:w="2693" w:type="dxa"/>
          </w:tcPr>
          <w:p w14:paraId="2BAC3529" w14:textId="77777777" w:rsidR="005224CE" w:rsidRPr="00511AD0" w:rsidRDefault="005224CE" w:rsidP="00A252B8"/>
        </w:tc>
      </w:tr>
      <w:tr w:rsidR="005224CE" w:rsidRPr="00511AD0" w14:paraId="1D0E3E6C" w14:textId="77777777" w:rsidTr="005224CE">
        <w:tc>
          <w:tcPr>
            <w:tcW w:w="702" w:type="dxa"/>
          </w:tcPr>
          <w:p w14:paraId="0D794824" w14:textId="2E57ED89" w:rsidR="005224CE" w:rsidRPr="00511AD0" w:rsidRDefault="005224CE" w:rsidP="00A252B8">
            <w:r>
              <w:t>11</w:t>
            </w:r>
          </w:p>
        </w:tc>
        <w:tc>
          <w:tcPr>
            <w:tcW w:w="2979" w:type="dxa"/>
          </w:tcPr>
          <w:p w14:paraId="00D13937" w14:textId="77777777" w:rsidR="005224CE" w:rsidRDefault="005224CE" w:rsidP="00A252B8">
            <w:r>
              <w:t>Greenscreen</w:t>
            </w:r>
          </w:p>
        </w:tc>
        <w:tc>
          <w:tcPr>
            <w:tcW w:w="7938" w:type="dxa"/>
          </w:tcPr>
          <w:p w14:paraId="758CA5EE" w14:textId="77777777" w:rsidR="005224CE" w:rsidRPr="00511AD0" w:rsidRDefault="005224CE" w:rsidP="00A252B8">
            <w:r>
              <w:t xml:space="preserve">In diesem </w:t>
            </w:r>
            <w:proofErr w:type="spellStart"/>
            <w:r>
              <w:t>DigiChemVideo</w:t>
            </w:r>
            <w:proofErr w:type="spellEnd"/>
            <w:r>
              <w:t xml:space="preserve"> hast du gelernt wann du Kapitälchen anwenden musst und wie das funktioniert.</w:t>
            </w:r>
          </w:p>
        </w:tc>
        <w:tc>
          <w:tcPr>
            <w:tcW w:w="2693" w:type="dxa"/>
          </w:tcPr>
          <w:p w14:paraId="6E85C61D" w14:textId="77777777" w:rsidR="005224CE" w:rsidRPr="00511AD0" w:rsidRDefault="005224CE" w:rsidP="00A252B8"/>
        </w:tc>
      </w:tr>
      <w:tr w:rsidR="005224CE" w:rsidRPr="00511AD0" w14:paraId="19E32F8F" w14:textId="77777777" w:rsidTr="005224CE">
        <w:tc>
          <w:tcPr>
            <w:tcW w:w="702" w:type="dxa"/>
          </w:tcPr>
          <w:p w14:paraId="467D80B0" w14:textId="0E9CB097" w:rsidR="005224CE" w:rsidRPr="00511AD0" w:rsidRDefault="005224CE" w:rsidP="00A252B8">
            <w:r>
              <w:t>12</w:t>
            </w:r>
          </w:p>
        </w:tc>
        <w:tc>
          <w:tcPr>
            <w:tcW w:w="2979" w:type="dxa"/>
          </w:tcPr>
          <w:p w14:paraId="57BEB667" w14:textId="77777777" w:rsidR="005224CE" w:rsidRDefault="005224CE" w:rsidP="00A252B8">
            <w:r>
              <w:t>Finalsequenz / Outro</w:t>
            </w:r>
          </w:p>
        </w:tc>
        <w:tc>
          <w:tcPr>
            <w:tcW w:w="7938" w:type="dxa"/>
          </w:tcPr>
          <w:p w14:paraId="4A687EC9" w14:textId="376FC397" w:rsidR="005224CE" w:rsidRPr="00406E77" w:rsidRDefault="005224CE" w:rsidP="00A252B8">
            <w:pPr>
              <w:rPr>
                <w:i/>
              </w:rPr>
            </w:pPr>
            <w:r w:rsidRPr="005224CE">
              <w:rPr>
                <w:i/>
                <w:lang w:eastAsia="de-DE"/>
              </w:rPr>
              <w:t>Fachlich Arbeiten - Kapitälchen</w:t>
            </w:r>
          </w:p>
        </w:tc>
        <w:tc>
          <w:tcPr>
            <w:tcW w:w="2693" w:type="dxa"/>
          </w:tcPr>
          <w:p w14:paraId="6CA53B5C" w14:textId="77777777" w:rsidR="005224CE" w:rsidRPr="00511AD0" w:rsidRDefault="005224CE" w:rsidP="00A252B8"/>
        </w:tc>
      </w:tr>
    </w:tbl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4C1A6D"/>
    <w:rsid w:val="005224CE"/>
    <w:rsid w:val="00546F86"/>
    <w:rsid w:val="00631D01"/>
    <w:rsid w:val="00665493"/>
    <w:rsid w:val="00885DDF"/>
    <w:rsid w:val="00934E6E"/>
    <w:rsid w:val="00955F4D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11</cp:revision>
  <dcterms:created xsi:type="dcterms:W3CDTF">2022-11-02T08:42:00Z</dcterms:created>
  <dcterms:modified xsi:type="dcterms:W3CDTF">2022-11-03T11:53:00Z</dcterms:modified>
  <dc:language>de-DE</dc:language>
</cp:coreProperties>
</file>