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B3BF" w14:textId="77777777" w:rsidR="001947EB" w:rsidRPr="002D6927" w:rsidRDefault="00D407C5" w:rsidP="00665493">
      <w:pPr>
        <w:pStyle w:val="Titel"/>
        <w:rPr>
          <w:b w:val="0"/>
        </w:rPr>
      </w:pPr>
      <w:r w:rsidRPr="002D6927">
        <w:t>OER.</w:t>
      </w:r>
      <w:r w:rsidRPr="00665493">
        <w:t>DigiChem</w:t>
      </w:r>
      <w:r w:rsidRPr="002D6927">
        <w:t>.nrw</w:t>
      </w:r>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1FF5B10B" w:rsidR="001947EB" w:rsidRPr="002D6927" w:rsidRDefault="00825837">
            <w:pPr>
              <w:widowControl w:val="0"/>
              <w:spacing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Elektronisches Laborjournal – </w:t>
            </w:r>
            <w:r w:rsidR="00403600" w:rsidRPr="00403600">
              <w:rPr>
                <w:rFonts w:eastAsia="Calibri" w:cstheme="minorHAnsi"/>
                <w:sz w:val="22"/>
                <w:szCs w:val="22"/>
                <w:lang w:eastAsia="en-US" w:bidi="ar-SA"/>
              </w:rPr>
              <w:t>eLabFTW – DC06_a-005-a 2022-03-11</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70F55D5E" w:rsidR="001947EB" w:rsidRPr="002D6927" w:rsidRDefault="00825837" w:rsidP="00403600">
            <w:pPr>
              <w:pStyle w:val="Listenabsatz"/>
              <w:widowControl w:val="0"/>
              <w:numPr>
                <w:ilvl w:val="0"/>
                <w:numId w:val="1"/>
              </w:numPr>
              <w:spacing w:after="0"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eLabFTW – </w:t>
            </w:r>
            <w:r w:rsidR="00403600" w:rsidRPr="00403600">
              <w:rPr>
                <w:rFonts w:eastAsia="Calibri" w:cstheme="minorHAnsi"/>
                <w:sz w:val="22"/>
                <w:szCs w:val="22"/>
                <w:lang w:eastAsia="en-US" w:bidi="ar-SA"/>
              </w:rPr>
              <w:t>(Lese-)Berechtigungen von Experimenten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Burdinski,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0D0965D" w:rsidR="001947EB" w:rsidRPr="002D6927" w:rsidRDefault="0080485E" w:rsidP="00825837">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Hackradt,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3529159C" w:rsidR="001947EB" w:rsidRPr="002D6927" w:rsidRDefault="00403600">
            <w:pPr>
              <w:widowControl w:val="0"/>
              <w:spacing w:line="276" w:lineRule="auto"/>
              <w:rPr>
                <w:rFonts w:eastAsia="Calibri" w:cstheme="minorHAnsi"/>
                <w:sz w:val="22"/>
                <w:szCs w:val="22"/>
                <w:lang w:eastAsia="en-US" w:bidi="ar-SA"/>
              </w:rPr>
            </w:pPr>
            <w:r>
              <w:rPr>
                <w:rFonts w:eastAsia="Calibri" w:cstheme="minorHAnsi"/>
                <w:sz w:val="22"/>
                <w:szCs w:val="22"/>
                <w:lang w:eastAsia="en-US" w:bidi="ar-SA"/>
              </w:rPr>
              <w:t>2022.03.11</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34829CFB" w:rsidR="001947EB" w:rsidRPr="002D6927" w:rsidRDefault="00403600">
            <w:pPr>
              <w:widowControl w:val="0"/>
              <w:spacing w:line="276" w:lineRule="auto"/>
              <w:rPr>
                <w:rFonts w:cstheme="minorHAnsi"/>
              </w:rPr>
            </w:pPr>
            <w:r w:rsidRPr="00403600">
              <w:rPr>
                <w:rFonts w:eastAsia="Calibri" w:cstheme="minorHAnsi"/>
                <w:sz w:val="22"/>
                <w:szCs w:val="22"/>
                <w:lang w:eastAsia="en-US" w:bidi="ar-SA"/>
              </w:rPr>
              <w:t>Die Studierenden können Experimente im ELB zum Lesen und Bearbeiten freigeben.</w:t>
            </w:r>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403600" w14:paraId="6A4BA829" w14:textId="77777777" w:rsidTr="00403600">
        <w:tc>
          <w:tcPr>
            <w:tcW w:w="270" w:type="pct"/>
          </w:tcPr>
          <w:p w14:paraId="629D631B" w14:textId="77777777" w:rsidR="00403600" w:rsidRPr="00403600" w:rsidRDefault="00403600" w:rsidP="00933AD6">
            <w:pPr>
              <w:rPr>
                <w:b/>
              </w:rPr>
            </w:pPr>
            <w:r w:rsidRPr="00403600">
              <w:rPr>
                <w:b/>
              </w:rPr>
              <w:t>Nr.</w:t>
            </w:r>
          </w:p>
        </w:tc>
        <w:tc>
          <w:tcPr>
            <w:tcW w:w="1146" w:type="pct"/>
          </w:tcPr>
          <w:p w14:paraId="4AF00136" w14:textId="287F8233" w:rsidR="00403600" w:rsidRPr="00403600" w:rsidRDefault="00403600" w:rsidP="00933AD6">
            <w:pPr>
              <w:rPr>
                <w:b/>
              </w:rPr>
            </w:pPr>
            <w:r>
              <w:rPr>
                <w:b/>
              </w:rPr>
              <w:t>Medium</w:t>
            </w:r>
          </w:p>
        </w:tc>
        <w:tc>
          <w:tcPr>
            <w:tcW w:w="2506" w:type="pct"/>
          </w:tcPr>
          <w:p w14:paraId="746B5EDD" w14:textId="34142306" w:rsidR="00403600" w:rsidRPr="00403600" w:rsidRDefault="00403600" w:rsidP="00933AD6">
            <w:pPr>
              <w:rPr>
                <w:b/>
              </w:rPr>
            </w:pPr>
            <w:r>
              <w:rPr>
                <w:b/>
              </w:rPr>
              <w:t>Gesprochener Text</w:t>
            </w:r>
            <w:r w:rsidR="00A9167F">
              <w:rPr>
                <w:b/>
              </w:rPr>
              <w:t>s</w:t>
            </w:r>
            <w:bookmarkStart w:id="0" w:name="_GoBack"/>
            <w:bookmarkEnd w:id="0"/>
          </w:p>
        </w:tc>
        <w:tc>
          <w:tcPr>
            <w:tcW w:w="1077" w:type="pct"/>
          </w:tcPr>
          <w:p w14:paraId="1F891DDF" w14:textId="77777777" w:rsidR="00403600" w:rsidRPr="00403600" w:rsidRDefault="00403600" w:rsidP="00933AD6">
            <w:pPr>
              <w:rPr>
                <w:b/>
              </w:rPr>
            </w:pPr>
            <w:r w:rsidRPr="00403600">
              <w:rPr>
                <w:b/>
              </w:rPr>
              <w:t>Kommentar</w:t>
            </w:r>
          </w:p>
        </w:tc>
      </w:tr>
      <w:tr w:rsidR="00403600" w14:paraId="6DD6BF49" w14:textId="77777777" w:rsidTr="00403600">
        <w:tc>
          <w:tcPr>
            <w:tcW w:w="270" w:type="pct"/>
          </w:tcPr>
          <w:p w14:paraId="737F16EA" w14:textId="77777777" w:rsidR="00403600" w:rsidRDefault="00403600" w:rsidP="00933AD6">
            <w:r>
              <w:t>1</w:t>
            </w:r>
          </w:p>
        </w:tc>
        <w:tc>
          <w:tcPr>
            <w:tcW w:w="1146" w:type="pct"/>
          </w:tcPr>
          <w:p w14:paraId="6D9F1008" w14:textId="77777777" w:rsidR="00403600" w:rsidRDefault="00403600" w:rsidP="00933AD6">
            <w:r>
              <w:t>Teaser/Intro</w:t>
            </w:r>
          </w:p>
        </w:tc>
        <w:tc>
          <w:tcPr>
            <w:tcW w:w="2506" w:type="pct"/>
          </w:tcPr>
          <w:p w14:paraId="0A36FB05" w14:textId="77777777" w:rsidR="00403600" w:rsidRDefault="00403600" w:rsidP="00933AD6">
            <w:pPr>
              <w:rPr>
                <w:i/>
              </w:rPr>
            </w:pPr>
            <w:r>
              <w:rPr>
                <w:i/>
              </w:rPr>
              <w:t>(Lese-)Berechtigungen deines Experiments</w:t>
            </w:r>
          </w:p>
        </w:tc>
        <w:tc>
          <w:tcPr>
            <w:tcW w:w="1077" w:type="pct"/>
          </w:tcPr>
          <w:p w14:paraId="5083DD89" w14:textId="77777777" w:rsidR="00403600" w:rsidRDefault="00403600" w:rsidP="00933AD6">
            <w:r>
              <w:t>-</w:t>
            </w:r>
          </w:p>
        </w:tc>
      </w:tr>
      <w:tr w:rsidR="00403600" w14:paraId="62E544CA" w14:textId="77777777" w:rsidTr="00403600">
        <w:tc>
          <w:tcPr>
            <w:tcW w:w="270" w:type="pct"/>
          </w:tcPr>
          <w:p w14:paraId="627550A6" w14:textId="77777777" w:rsidR="00403600" w:rsidRDefault="00403600" w:rsidP="00933AD6">
            <w:r>
              <w:t>2</w:t>
            </w:r>
          </w:p>
        </w:tc>
        <w:tc>
          <w:tcPr>
            <w:tcW w:w="1146" w:type="pct"/>
          </w:tcPr>
          <w:p w14:paraId="49A3D755" w14:textId="77777777" w:rsidR="00403600" w:rsidRDefault="00403600" w:rsidP="00933AD6">
            <w:pPr>
              <w:rPr>
                <w:lang w:bidi="ar-SA"/>
              </w:rPr>
            </w:pPr>
            <w:r>
              <w:rPr>
                <w:lang w:bidi="ar-SA"/>
              </w:rPr>
              <w:t xml:space="preserve">Greenscreen </w:t>
            </w:r>
          </w:p>
        </w:tc>
        <w:tc>
          <w:tcPr>
            <w:tcW w:w="2506" w:type="pct"/>
          </w:tcPr>
          <w:p w14:paraId="2D88A85A" w14:textId="77777777" w:rsidR="00403600" w:rsidRDefault="00403600" w:rsidP="00933AD6">
            <w:r>
              <w:t>Hallo,</w:t>
            </w:r>
          </w:p>
          <w:p w14:paraId="6EAF61AE" w14:textId="77777777" w:rsidR="00403600" w:rsidRDefault="00403600" w:rsidP="00933AD6">
            <w:r>
              <w:t>in diesem DigiChem-Video lernst du, wie Du Lese- und Schreiberechte bei Experimenten, Vorlagen oder Datenbank-Elemente einsehen und bearbeiten kannst.</w:t>
            </w:r>
          </w:p>
        </w:tc>
        <w:tc>
          <w:tcPr>
            <w:tcW w:w="1077" w:type="pct"/>
          </w:tcPr>
          <w:p w14:paraId="03154ADA" w14:textId="77777777" w:rsidR="00403600" w:rsidRDefault="00403600" w:rsidP="00933AD6"/>
        </w:tc>
      </w:tr>
      <w:tr w:rsidR="00403600" w14:paraId="78FA5C73" w14:textId="77777777" w:rsidTr="00403600">
        <w:tc>
          <w:tcPr>
            <w:tcW w:w="270" w:type="pct"/>
          </w:tcPr>
          <w:p w14:paraId="108CF10D" w14:textId="77777777" w:rsidR="00403600" w:rsidRDefault="00403600" w:rsidP="00933AD6">
            <w:r>
              <w:t>3</w:t>
            </w:r>
          </w:p>
        </w:tc>
        <w:tc>
          <w:tcPr>
            <w:tcW w:w="1146" w:type="pct"/>
          </w:tcPr>
          <w:p w14:paraId="0A0826EA" w14:textId="77777777" w:rsidR="00403600" w:rsidRDefault="00403600" w:rsidP="00933AD6">
            <w:pPr>
              <w:rPr>
                <w:lang w:bidi="ar-SA"/>
              </w:rPr>
            </w:pPr>
            <w:r>
              <w:rPr>
                <w:lang w:bidi="ar-SA"/>
              </w:rPr>
              <w:t>eLabFTW zeigen</w:t>
            </w:r>
          </w:p>
          <w:p w14:paraId="75C99268" w14:textId="77777777" w:rsidR="00403600" w:rsidRDefault="00403600" w:rsidP="00933AD6">
            <w:pPr>
              <w:rPr>
                <w:lang w:bidi="ar-SA"/>
              </w:rPr>
            </w:pPr>
          </w:p>
        </w:tc>
        <w:tc>
          <w:tcPr>
            <w:tcW w:w="2506" w:type="pct"/>
          </w:tcPr>
          <w:p w14:paraId="510290D9" w14:textId="77777777" w:rsidR="00403600" w:rsidRDefault="00403600" w:rsidP="00933AD6"/>
        </w:tc>
        <w:tc>
          <w:tcPr>
            <w:tcW w:w="1077" w:type="pct"/>
          </w:tcPr>
          <w:p w14:paraId="267887B1" w14:textId="77777777" w:rsidR="00403600" w:rsidRDefault="00403600" w:rsidP="00933AD6">
            <w:pPr>
              <w:rPr>
                <w:lang w:bidi="ar-SA"/>
              </w:rPr>
            </w:pPr>
            <w:r>
              <w:rPr>
                <w:lang w:bidi="ar-SA"/>
              </w:rPr>
              <w:t>Hier Word einblenden</w:t>
            </w:r>
          </w:p>
        </w:tc>
      </w:tr>
      <w:tr w:rsidR="00403600" w14:paraId="1E674F3A" w14:textId="77777777" w:rsidTr="00403600">
        <w:tc>
          <w:tcPr>
            <w:tcW w:w="270" w:type="pct"/>
          </w:tcPr>
          <w:p w14:paraId="37B9AF19" w14:textId="77777777" w:rsidR="00403600" w:rsidRDefault="00403600" w:rsidP="00933AD6">
            <w:r>
              <w:t>4</w:t>
            </w:r>
          </w:p>
        </w:tc>
        <w:tc>
          <w:tcPr>
            <w:tcW w:w="1146" w:type="pct"/>
          </w:tcPr>
          <w:p w14:paraId="697F2DB8" w14:textId="77777777" w:rsidR="00403600" w:rsidRDefault="00403600" w:rsidP="00933AD6">
            <w:pPr>
              <w:rPr>
                <w:lang w:bidi="ar-SA"/>
              </w:rPr>
            </w:pPr>
            <w:r>
              <w:rPr>
                <w:lang w:bidi="ar-SA"/>
              </w:rPr>
              <w:t>Screencast</w:t>
            </w:r>
          </w:p>
        </w:tc>
        <w:tc>
          <w:tcPr>
            <w:tcW w:w="2506" w:type="pct"/>
          </w:tcPr>
          <w:p w14:paraId="4F09CB4D" w14:textId="77777777" w:rsidR="00403600" w:rsidRDefault="00403600" w:rsidP="00933AD6">
            <w:r>
              <w:t>Um diese Einstellungen für Deine neu erstellten Experimente festzulegen, gehst Du auf dein Benutzericon und wählst Deine Benutzerseite aus. Scrolle dann in Einstellungen bis ans Ende der Seite.</w:t>
            </w:r>
          </w:p>
        </w:tc>
        <w:tc>
          <w:tcPr>
            <w:tcW w:w="1077" w:type="pct"/>
          </w:tcPr>
          <w:p w14:paraId="52A4FC13" w14:textId="77777777" w:rsidR="00403600" w:rsidRDefault="00403600" w:rsidP="00933AD6"/>
        </w:tc>
      </w:tr>
      <w:tr w:rsidR="00403600" w14:paraId="175BD5A0" w14:textId="77777777" w:rsidTr="00403600">
        <w:tc>
          <w:tcPr>
            <w:tcW w:w="270" w:type="pct"/>
          </w:tcPr>
          <w:p w14:paraId="7C57343D" w14:textId="77777777" w:rsidR="00403600" w:rsidRDefault="00403600" w:rsidP="00933AD6">
            <w:r>
              <w:t>5</w:t>
            </w:r>
          </w:p>
        </w:tc>
        <w:tc>
          <w:tcPr>
            <w:tcW w:w="1146" w:type="pct"/>
          </w:tcPr>
          <w:p w14:paraId="387C1600" w14:textId="77777777" w:rsidR="00403600" w:rsidRDefault="00403600" w:rsidP="00933AD6">
            <w:pPr>
              <w:rPr>
                <w:lang w:bidi="ar-SA"/>
              </w:rPr>
            </w:pPr>
            <w:r>
              <w:rPr>
                <w:lang w:bidi="ar-SA"/>
              </w:rPr>
              <w:t>Screencast</w:t>
            </w:r>
          </w:p>
        </w:tc>
        <w:tc>
          <w:tcPr>
            <w:tcW w:w="2506" w:type="pct"/>
          </w:tcPr>
          <w:p w14:paraId="0B64D200" w14:textId="77777777" w:rsidR="00403600" w:rsidRDefault="00403600" w:rsidP="00933AD6">
            <w:r>
              <w:t>Unter „Verschiedenes“ kannst Du sehen und bestimmen, wer deine erstellten Experimente ansehen und wer diese bearbeiten kann.</w:t>
            </w:r>
          </w:p>
          <w:p w14:paraId="35D8EEDE" w14:textId="77777777" w:rsidR="00403600" w:rsidRDefault="00403600" w:rsidP="00933AD6">
            <w:r>
              <w:t>Du kannst wählen zwischen:</w:t>
            </w:r>
          </w:p>
          <w:p w14:paraId="5E507C36" w14:textId="77777777" w:rsidR="00403600" w:rsidRDefault="00403600" w:rsidP="00403600">
            <w:pPr>
              <w:pStyle w:val="Listenabsatz"/>
              <w:numPr>
                <w:ilvl w:val="0"/>
                <w:numId w:val="7"/>
              </w:numPr>
            </w:pPr>
            <w:r>
              <w:t xml:space="preserve">Öffentlich </w:t>
            </w:r>
          </w:p>
          <w:p w14:paraId="50B9FAFC" w14:textId="77777777" w:rsidR="00403600" w:rsidRDefault="00403600" w:rsidP="00403600">
            <w:pPr>
              <w:pStyle w:val="Listenabsatz"/>
              <w:numPr>
                <w:ilvl w:val="0"/>
                <w:numId w:val="7"/>
              </w:numPr>
            </w:pPr>
            <w:r>
              <w:t xml:space="preserve">Jeder mit einem Account </w:t>
            </w:r>
          </w:p>
          <w:p w14:paraId="09DE6772" w14:textId="77777777" w:rsidR="00403600" w:rsidRDefault="00403600" w:rsidP="00403600">
            <w:pPr>
              <w:pStyle w:val="Listenabsatz"/>
              <w:numPr>
                <w:ilvl w:val="0"/>
                <w:numId w:val="7"/>
              </w:numPr>
            </w:pPr>
            <w:r>
              <w:lastRenderedPageBreak/>
              <w:t>Nur das Team</w:t>
            </w:r>
          </w:p>
          <w:p w14:paraId="34334859" w14:textId="77777777" w:rsidR="00403600" w:rsidRDefault="00403600" w:rsidP="00403600">
            <w:pPr>
              <w:pStyle w:val="Listenabsatz"/>
              <w:numPr>
                <w:ilvl w:val="0"/>
                <w:numId w:val="7"/>
              </w:numPr>
            </w:pPr>
            <w:r>
              <w:t>Nur ich und Admins</w:t>
            </w:r>
          </w:p>
          <w:p w14:paraId="2E6B4032" w14:textId="77777777" w:rsidR="00403600" w:rsidRDefault="00403600" w:rsidP="00403600">
            <w:pPr>
              <w:pStyle w:val="Listenabsatz"/>
              <w:numPr>
                <w:ilvl w:val="0"/>
                <w:numId w:val="7"/>
              </w:numPr>
            </w:pPr>
            <w:r>
              <w:t xml:space="preserve">Nur ich </w:t>
            </w:r>
          </w:p>
          <w:p w14:paraId="638A8B0A" w14:textId="77777777" w:rsidR="00403600" w:rsidRDefault="00403600" w:rsidP="00933AD6">
            <w:r>
              <w:t>Und sofern der Team-Admin eine oder mehrere Gruppen erstellt hat, kannst du auch entsprechend diese Gruppen wählen.</w:t>
            </w:r>
          </w:p>
          <w:p w14:paraId="5504E668" w14:textId="77777777" w:rsidR="00403600" w:rsidRDefault="00403600" w:rsidP="00933AD6">
            <w:r>
              <w:t xml:space="preserve"> </w:t>
            </w:r>
          </w:p>
          <w:p w14:paraId="38081393" w14:textId="77777777" w:rsidR="00403600" w:rsidRDefault="00403600" w:rsidP="00933AD6">
            <w:r>
              <w:t>Hinweis: Es kann sein, dass die Bezeichnungen von den hier aufgeführten Beispielen abweichen.</w:t>
            </w:r>
          </w:p>
        </w:tc>
        <w:tc>
          <w:tcPr>
            <w:tcW w:w="1077" w:type="pct"/>
          </w:tcPr>
          <w:p w14:paraId="459143AE" w14:textId="77777777" w:rsidR="00403600" w:rsidRDefault="00403600" w:rsidP="00933AD6"/>
          <w:p w14:paraId="70DE331D" w14:textId="77777777" w:rsidR="00403600" w:rsidRDefault="00403600" w:rsidP="00933AD6"/>
        </w:tc>
      </w:tr>
      <w:tr w:rsidR="00403600" w14:paraId="791B86BD" w14:textId="77777777" w:rsidTr="00403600">
        <w:tc>
          <w:tcPr>
            <w:tcW w:w="270" w:type="pct"/>
          </w:tcPr>
          <w:p w14:paraId="391F18CB" w14:textId="77777777" w:rsidR="00403600" w:rsidRDefault="00403600" w:rsidP="00933AD6">
            <w:r>
              <w:t>6</w:t>
            </w:r>
          </w:p>
        </w:tc>
        <w:tc>
          <w:tcPr>
            <w:tcW w:w="1146" w:type="pct"/>
          </w:tcPr>
          <w:p w14:paraId="7906EA07" w14:textId="77777777" w:rsidR="00403600" w:rsidRDefault="00403600" w:rsidP="00933AD6">
            <w:r>
              <w:rPr>
                <w:lang w:bidi="ar-SA"/>
              </w:rPr>
              <w:t>Screencast</w:t>
            </w:r>
          </w:p>
        </w:tc>
        <w:tc>
          <w:tcPr>
            <w:tcW w:w="2506" w:type="pct"/>
          </w:tcPr>
          <w:p w14:paraId="194CF6EC" w14:textId="77777777" w:rsidR="00403600" w:rsidRDefault="00403600" w:rsidP="00933AD6">
            <w:r>
              <w:t xml:space="preserve">Willst du diese Berechtigungen nur für ein bestimmtes Experiment, eine Vorlage oder ein Datenbankelement ändern, wechsle auf die entsprechende Seite. </w:t>
            </w:r>
          </w:p>
        </w:tc>
        <w:tc>
          <w:tcPr>
            <w:tcW w:w="1077" w:type="pct"/>
          </w:tcPr>
          <w:p w14:paraId="57447A7A" w14:textId="77777777" w:rsidR="00403600" w:rsidRDefault="00403600" w:rsidP="00933AD6"/>
        </w:tc>
      </w:tr>
      <w:tr w:rsidR="00403600" w14:paraId="39907F37" w14:textId="77777777" w:rsidTr="00403600">
        <w:tc>
          <w:tcPr>
            <w:tcW w:w="270" w:type="pct"/>
          </w:tcPr>
          <w:p w14:paraId="300CFA7F" w14:textId="77777777" w:rsidR="00403600" w:rsidRDefault="00403600" w:rsidP="00933AD6">
            <w:r>
              <w:t>7</w:t>
            </w:r>
          </w:p>
        </w:tc>
        <w:tc>
          <w:tcPr>
            <w:tcW w:w="1146" w:type="pct"/>
          </w:tcPr>
          <w:p w14:paraId="7CF29B19" w14:textId="77777777" w:rsidR="00403600" w:rsidRDefault="00403600" w:rsidP="00933AD6">
            <w:pPr>
              <w:rPr>
                <w:lang w:bidi="ar-SA"/>
              </w:rPr>
            </w:pPr>
            <w:r>
              <w:rPr>
                <w:lang w:bidi="ar-SA"/>
              </w:rPr>
              <w:t>Screencast</w:t>
            </w:r>
          </w:p>
        </w:tc>
        <w:tc>
          <w:tcPr>
            <w:tcW w:w="2506" w:type="pct"/>
          </w:tcPr>
          <w:p w14:paraId="0234FA6F" w14:textId="77777777" w:rsidR="00403600" w:rsidRDefault="00403600" w:rsidP="00933AD6">
            <w:r>
              <w:t>Öffnest du zum Beispiel ein Experiment, wird Dir oberhalb des Datums die Berechtigungen angezeigt. Das Auge zeigt die Leseberechtigung, also wer das Experiment ansehen kann, und der Bleistift, wer es bearbeiten darf.</w:t>
            </w:r>
          </w:p>
          <w:p w14:paraId="45781A9D" w14:textId="77777777" w:rsidR="00403600" w:rsidRDefault="00403600" w:rsidP="00933AD6">
            <w:r>
              <w:t>Um diese Einstellungen zu Ändern wechsle in den Bearbeitungsmodus.</w:t>
            </w:r>
          </w:p>
        </w:tc>
        <w:tc>
          <w:tcPr>
            <w:tcW w:w="1077" w:type="pct"/>
          </w:tcPr>
          <w:p w14:paraId="79187013" w14:textId="77777777" w:rsidR="00403600" w:rsidRDefault="00403600" w:rsidP="00933AD6"/>
        </w:tc>
      </w:tr>
      <w:tr w:rsidR="00403600" w14:paraId="51A92ACE" w14:textId="77777777" w:rsidTr="00403600">
        <w:tc>
          <w:tcPr>
            <w:tcW w:w="270" w:type="pct"/>
          </w:tcPr>
          <w:p w14:paraId="776D33A0" w14:textId="77777777" w:rsidR="00403600" w:rsidRDefault="00403600" w:rsidP="00933AD6">
            <w:r>
              <w:t>8</w:t>
            </w:r>
          </w:p>
        </w:tc>
        <w:tc>
          <w:tcPr>
            <w:tcW w:w="1146" w:type="pct"/>
          </w:tcPr>
          <w:p w14:paraId="33626861" w14:textId="77777777" w:rsidR="00403600" w:rsidRDefault="00403600" w:rsidP="00933AD6">
            <w:pPr>
              <w:rPr>
                <w:lang w:bidi="ar-SA"/>
              </w:rPr>
            </w:pPr>
            <w:r>
              <w:rPr>
                <w:lang w:bidi="ar-SA"/>
              </w:rPr>
              <w:t>Screencast</w:t>
            </w:r>
          </w:p>
        </w:tc>
        <w:tc>
          <w:tcPr>
            <w:tcW w:w="2506" w:type="pct"/>
          </w:tcPr>
          <w:p w14:paraId="614B1067" w14:textId="77777777" w:rsidR="00403600" w:rsidRDefault="00403600" w:rsidP="00933AD6">
            <w:r>
              <w:t>Die Symbole Auge und Stift werden hier nicht mehr angezeigt. Du findest nun rechts oben eine Schaltfläche, die aus 3 Punkten besteht. Klickst Du dieses Symbol an, öffnet sich ein Untermenü.</w:t>
            </w:r>
          </w:p>
        </w:tc>
        <w:tc>
          <w:tcPr>
            <w:tcW w:w="1077" w:type="pct"/>
          </w:tcPr>
          <w:p w14:paraId="66A7E280" w14:textId="77777777" w:rsidR="00403600" w:rsidRDefault="00403600" w:rsidP="00933AD6"/>
        </w:tc>
      </w:tr>
      <w:tr w:rsidR="00403600" w14:paraId="38A3344B" w14:textId="77777777" w:rsidTr="00403600">
        <w:tc>
          <w:tcPr>
            <w:tcW w:w="270" w:type="pct"/>
          </w:tcPr>
          <w:p w14:paraId="61DC06A9" w14:textId="77777777" w:rsidR="00403600" w:rsidRDefault="00403600" w:rsidP="00933AD6">
            <w:r>
              <w:t>9</w:t>
            </w:r>
          </w:p>
        </w:tc>
        <w:tc>
          <w:tcPr>
            <w:tcW w:w="1146" w:type="pct"/>
          </w:tcPr>
          <w:p w14:paraId="50F87BD4" w14:textId="77777777" w:rsidR="00403600" w:rsidRDefault="00403600" w:rsidP="00933AD6">
            <w:pPr>
              <w:rPr>
                <w:lang w:bidi="ar-SA"/>
              </w:rPr>
            </w:pPr>
            <w:r>
              <w:rPr>
                <w:lang w:bidi="ar-SA"/>
              </w:rPr>
              <w:t>Screencast</w:t>
            </w:r>
          </w:p>
        </w:tc>
        <w:tc>
          <w:tcPr>
            <w:tcW w:w="2506" w:type="pct"/>
          </w:tcPr>
          <w:p w14:paraId="67B34636" w14:textId="77777777" w:rsidR="00403600" w:rsidRDefault="00403600" w:rsidP="00933AD6">
            <w:r>
              <w:t xml:space="preserve">Wähle hier „Verwalte Berechtigungen“. </w:t>
            </w:r>
          </w:p>
          <w:p w14:paraId="6399696B" w14:textId="77777777" w:rsidR="00403600" w:rsidRDefault="00403600" w:rsidP="00933AD6">
            <w:r>
              <w:t>In dem sich öffnenden Fenster kannst du über die jeweiligen Dropdown-Felder die Lese- und Schreiberechte anpassen.</w:t>
            </w:r>
          </w:p>
          <w:p w14:paraId="0F6E2BFB" w14:textId="77777777" w:rsidR="00403600" w:rsidRDefault="00403600" w:rsidP="00933AD6">
            <w:r>
              <w:t>Schließe das Fenster und speichere das Experiment.</w:t>
            </w:r>
          </w:p>
        </w:tc>
        <w:tc>
          <w:tcPr>
            <w:tcW w:w="1077" w:type="pct"/>
          </w:tcPr>
          <w:p w14:paraId="7AD42BDA" w14:textId="77777777" w:rsidR="00403600" w:rsidRDefault="00403600" w:rsidP="00933AD6"/>
        </w:tc>
      </w:tr>
      <w:tr w:rsidR="00403600" w14:paraId="7A4CBEB7" w14:textId="77777777" w:rsidTr="00403600">
        <w:tc>
          <w:tcPr>
            <w:tcW w:w="270" w:type="pct"/>
          </w:tcPr>
          <w:p w14:paraId="681A02E0" w14:textId="77777777" w:rsidR="00403600" w:rsidRDefault="00403600" w:rsidP="00933AD6">
            <w:r>
              <w:t>11</w:t>
            </w:r>
          </w:p>
        </w:tc>
        <w:tc>
          <w:tcPr>
            <w:tcW w:w="1146" w:type="pct"/>
          </w:tcPr>
          <w:p w14:paraId="48ED3F37" w14:textId="77777777" w:rsidR="00403600" w:rsidRDefault="00403600" w:rsidP="00933AD6">
            <w:r>
              <w:rPr>
                <w:lang w:bidi="ar-SA"/>
              </w:rPr>
              <w:t>Screencast</w:t>
            </w:r>
          </w:p>
        </w:tc>
        <w:tc>
          <w:tcPr>
            <w:tcW w:w="2506" w:type="pct"/>
          </w:tcPr>
          <w:p w14:paraId="509EF3C7" w14:textId="77777777" w:rsidR="00403600" w:rsidRDefault="00403600" w:rsidP="00933AD6">
            <w:r>
              <w:t xml:space="preserve">In der Übersicht werden nun die neuen Rechte angezeigt. </w:t>
            </w:r>
          </w:p>
        </w:tc>
        <w:tc>
          <w:tcPr>
            <w:tcW w:w="1077" w:type="pct"/>
          </w:tcPr>
          <w:p w14:paraId="40A7A409" w14:textId="77777777" w:rsidR="00403600" w:rsidRDefault="00403600" w:rsidP="00933AD6"/>
        </w:tc>
      </w:tr>
      <w:tr w:rsidR="00403600" w14:paraId="781F279E" w14:textId="77777777" w:rsidTr="00403600">
        <w:tc>
          <w:tcPr>
            <w:tcW w:w="270" w:type="pct"/>
          </w:tcPr>
          <w:p w14:paraId="6D3D5D53" w14:textId="77777777" w:rsidR="00403600" w:rsidRDefault="00403600" w:rsidP="00933AD6">
            <w:r>
              <w:t>12</w:t>
            </w:r>
          </w:p>
        </w:tc>
        <w:tc>
          <w:tcPr>
            <w:tcW w:w="1146" w:type="pct"/>
          </w:tcPr>
          <w:p w14:paraId="66323A40" w14:textId="77777777" w:rsidR="00403600" w:rsidRDefault="00403600" w:rsidP="00933AD6">
            <w:r>
              <w:t>Avatar Übung: Lösung</w:t>
            </w:r>
          </w:p>
        </w:tc>
        <w:tc>
          <w:tcPr>
            <w:tcW w:w="2506" w:type="pct"/>
          </w:tcPr>
          <w:p w14:paraId="2FF1A841" w14:textId="77777777" w:rsidR="00403600" w:rsidRDefault="00403600" w:rsidP="00933AD6">
            <w:r>
              <w:t>Hinweis: Die Bezeichnungen der Berechtigungen unterscheiden sich teilweise. „Jeder mit einem Account“ wird z.B. hier als „Organisation“ angezeigt.</w:t>
            </w:r>
          </w:p>
        </w:tc>
        <w:tc>
          <w:tcPr>
            <w:tcW w:w="1077" w:type="pct"/>
          </w:tcPr>
          <w:p w14:paraId="31D29EB4" w14:textId="77777777" w:rsidR="00403600" w:rsidRDefault="00403600" w:rsidP="00933AD6"/>
        </w:tc>
      </w:tr>
      <w:tr w:rsidR="00403600" w14:paraId="0F9DE1F4" w14:textId="77777777" w:rsidTr="00403600">
        <w:tc>
          <w:tcPr>
            <w:tcW w:w="270" w:type="pct"/>
          </w:tcPr>
          <w:p w14:paraId="5E3FDC7F" w14:textId="77777777" w:rsidR="00403600" w:rsidRDefault="00403600" w:rsidP="00933AD6">
            <w:r>
              <w:t>13</w:t>
            </w:r>
          </w:p>
        </w:tc>
        <w:tc>
          <w:tcPr>
            <w:tcW w:w="1146" w:type="pct"/>
          </w:tcPr>
          <w:p w14:paraId="52FAD6F7" w14:textId="77777777" w:rsidR="00403600" w:rsidRDefault="00403600" w:rsidP="00933AD6">
            <w:r>
              <w:t xml:space="preserve">Greenscreen </w:t>
            </w:r>
          </w:p>
        </w:tc>
        <w:tc>
          <w:tcPr>
            <w:tcW w:w="2506" w:type="pct"/>
          </w:tcPr>
          <w:p w14:paraId="7C15B1F8" w14:textId="77777777" w:rsidR="00403600" w:rsidRDefault="00403600" w:rsidP="00933AD6">
            <w:r>
              <w:t>In diesem DigiChem-Video hast du gelernt, wie Du die Berechtigung zum Lesen und Bearbeiten für Experimente, Vorlagen und Elemente einsehen und ändern kannst.</w:t>
            </w:r>
          </w:p>
        </w:tc>
        <w:tc>
          <w:tcPr>
            <w:tcW w:w="1077" w:type="pct"/>
          </w:tcPr>
          <w:p w14:paraId="6ED229E3" w14:textId="77777777" w:rsidR="00403600" w:rsidRDefault="00403600" w:rsidP="00933AD6"/>
        </w:tc>
      </w:tr>
      <w:tr w:rsidR="00403600" w14:paraId="12DDE3EE" w14:textId="77777777" w:rsidTr="00403600">
        <w:tc>
          <w:tcPr>
            <w:tcW w:w="270" w:type="pct"/>
          </w:tcPr>
          <w:p w14:paraId="36F2041D" w14:textId="77777777" w:rsidR="00403600" w:rsidRDefault="00403600" w:rsidP="00933AD6">
            <w:r>
              <w:t>14</w:t>
            </w:r>
          </w:p>
        </w:tc>
        <w:tc>
          <w:tcPr>
            <w:tcW w:w="1146" w:type="pct"/>
          </w:tcPr>
          <w:p w14:paraId="7D94A865" w14:textId="77777777" w:rsidR="00403600" w:rsidRDefault="00403600" w:rsidP="00933AD6">
            <w:r>
              <w:t>Finalsequenz / Outro</w:t>
            </w:r>
          </w:p>
        </w:tc>
        <w:tc>
          <w:tcPr>
            <w:tcW w:w="2506" w:type="pct"/>
          </w:tcPr>
          <w:p w14:paraId="4B0D1F0E" w14:textId="77777777" w:rsidR="00403600" w:rsidRDefault="00403600" w:rsidP="00933AD6">
            <w:pPr>
              <w:rPr>
                <w:i/>
              </w:rPr>
            </w:pPr>
            <w:r>
              <w:rPr>
                <w:i/>
              </w:rPr>
              <w:t>(Lese-)Berechtigungen deines Experiments</w:t>
            </w:r>
          </w:p>
        </w:tc>
        <w:tc>
          <w:tcPr>
            <w:tcW w:w="1077" w:type="pct"/>
          </w:tcPr>
          <w:p w14:paraId="663ED0D2" w14:textId="77777777" w:rsidR="00403600" w:rsidRDefault="00403600" w:rsidP="00933AD6"/>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6E02" w16cid:durableId="270E426E"/>
  <w16cid:commentId w16cid:paraId="0E5607BD" w16cid:durableId="270E4270"/>
  <w16cid:commentId w16cid:paraId="0F400A1F" w16cid:durableId="270E4271"/>
  <w16cid:commentId w16cid:paraId="26D0FA11" w16cid:durableId="270E4273"/>
  <w16cid:commentId w16cid:paraId="3A16177F" w16cid:durableId="270E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7CF2638"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25837">
      <w:rPr>
        <w:rFonts w:cstheme="minorHAnsi"/>
        <w:sz w:val="22"/>
      </w:rPr>
      <w:t xml:space="preserve"> Hans Hackradt</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4DE63CB"/>
    <w:multiLevelType w:val="hybridMultilevel"/>
    <w:tmpl w:val="A0068E58"/>
    <w:lvl w:ilvl="0" w:tplc="D7D486A2">
      <w:start w:val="202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4"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B"/>
    <w:rsid w:val="00187B73"/>
    <w:rsid w:val="001947EB"/>
    <w:rsid w:val="002230D1"/>
    <w:rsid w:val="002B33B3"/>
    <w:rsid w:val="002D6927"/>
    <w:rsid w:val="002E578D"/>
    <w:rsid w:val="00325D8C"/>
    <w:rsid w:val="003F54E7"/>
    <w:rsid w:val="00403600"/>
    <w:rsid w:val="00546F86"/>
    <w:rsid w:val="00631D01"/>
    <w:rsid w:val="00665493"/>
    <w:rsid w:val="0080485E"/>
    <w:rsid w:val="008150D2"/>
    <w:rsid w:val="00825837"/>
    <w:rsid w:val="00885DDF"/>
    <w:rsid w:val="00934E6E"/>
    <w:rsid w:val="00A3793D"/>
    <w:rsid w:val="00A64480"/>
    <w:rsid w:val="00A9167F"/>
    <w:rsid w:val="00C14D01"/>
    <w:rsid w:val="00C62F05"/>
    <w:rsid w:val="00CF2C07"/>
    <w:rsid w:val="00D407C5"/>
    <w:rsid w:val="00F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550192132">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MLab248</cp:lastModifiedBy>
  <cp:revision>15</cp:revision>
  <dcterms:created xsi:type="dcterms:W3CDTF">2022-11-02T08:42:00Z</dcterms:created>
  <dcterms:modified xsi:type="dcterms:W3CDTF">2022-11-08T11:55:00Z</dcterms:modified>
  <dc:language>de-DE</dc:language>
</cp:coreProperties>
</file>